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24F" w:rsidRDefault="0091124F" w:rsidP="00E829EA">
      <w:pPr>
        <w:pStyle w:val="ITETexto1"/>
        <w:spacing w:after="3480"/>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9210"/>
      </w:tblGrid>
      <w:tr w:rsidR="0091124F">
        <w:trPr>
          <w:trHeight w:hRule="exact" w:val="2268"/>
        </w:trPr>
        <w:tc>
          <w:tcPr>
            <w:tcW w:w="9210" w:type="dxa"/>
          </w:tcPr>
          <w:p w:rsidR="004C213A" w:rsidRDefault="00457DA8" w:rsidP="00A3306B">
            <w:pPr>
              <w:pStyle w:val="ITEDocumentoTitulo"/>
            </w:pPr>
            <w:r>
              <w:t>PLAN DE GESTIÓN</w:t>
            </w:r>
            <w:r w:rsidR="004C213A">
              <w:t xml:space="preserve"> ITELAZPI</w:t>
            </w:r>
          </w:p>
          <w:p w:rsidR="0091124F" w:rsidRDefault="00457DA8" w:rsidP="00A3306B">
            <w:pPr>
              <w:pStyle w:val="ITEDocumentoTitulo"/>
            </w:pPr>
            <w:r>
              <w:t xml:space="preserve"> 2018</w:t>
            </w:r>
          </w:p>
        </w:tc>
      </w:tr>
      <w:tr w:rsidR="0091124F">
        <w:trPr>
          <w:trHeight w:hRule="exact" w:val="1701"/>
        </w:trPr>
        <w:tc>
          <w:tcPr>
            <w:tcW w:w="9210" w:type="dxa"/>
          </w:tcPr>
          <w:p w:rsidR="0091124F" w:rsidRDefault="0091124F" w:rsidP="001651CF">
            <w:pPr>
              <w:pStyle w:val="ITEDocumentoSubtitulo"/>
            </w:pPr>
          </w:p>
        </w:tc>
      </w:tr>
    </w:tbl>
    <w:p w:rsidR="009B5658" w:rsidRDefault="009B5658" w:rsidP="009B5658">
      <w:pPr>
        <w:pStyle w:val="ITETexto1"/>
      </w:pPr>
    </w:p>
    <w:p w:rsidR="009B5658" w:rsidRDefault="009B5658" w:rsidP="009B5658">
      <w:pPr>
        <w:pStyle w:val="ITETexto1"/>
        <w:sectPr w:rsidR="009B5658" w:rsidSect="00250B52">
          <w:headerReference w:type="default" r:id="rId7"/>
          <w:footerReference w:type="default" r:id="rId8"/>
          <w:headerReference w:type="first" r:id="rId9"/>
          <w:footerReference w:type="first" r:id="rId10"/>
          <w:pgSz w:w="11906" w:h="16838" w:code="9"/>
          <w:pgMar w:top="1985" w:right="1418" w:bottom="1134" w:left="1418" w:header="680" w:footer="680" w:gutter="0"/>
          <w:cols w:space="708"/>
          <w:titlePg/>
          <w:docGrid w:linePitch="360"/>
        </w:sectPr>
      </w:pPr>
    </w:p>
    <w:p w:rsidR="0091124F" w:rsidRPr="004609BD" w:rsidRDefault="0091124F" w:rsidP="004609BD">
      <w:pPr>
        <w:pStyle w:val="ITETexto1"/>
        <w:pageBreakBefore/>
        <w:pBdr>
          <w:top w:val="single" w:sz="18" w:space="1" w:color="595959"/>
        </w:pBdr>
        <w:spacing w:after="240"/>
        <w:rPr>
          <w:b/>
          <w:caps/>
          <w:sz w:val="22"/>
          <w:szCs w:val="22"/>
        </w:rPr>
      </w:pPr>
      <w:r w:rsidRPr="004609BD">
        <w:rPr>
          <w:b/>
          <w:caps/>
          <w:sz w:val="22"/>
          <w:szCs w:val="22"/>
        </w:rPr>
        <w:lastRenderedPageBreak/>
        <w:t>Í</w:t>
      </w:r>
      <w:r w:rsidR="001A21FD" w:rsidRPr="004609BD">
        <w:rPr>
          <w:b/>
          <w:caps/>
          <w:sz w:val="22"/>
          <w:szCs w:val="22"/>
        </w:rPr>
        <w:t>ndice</w:t>
      </w:r>
    </w:p>
    <w:p w:rsidR="00A8107E" w:rsidRDefault="00696090">
      <w:pPr>
        <w:pStyle w:val="TDC1"/>
        <w:rPr>
          <w:rFonts w:asciiTheme="minorHAnsi" w:eastAsiaTheme="minorEastAsia" w:hAnsiTheme="minorHAnsi" w:cstheme="minorBidi"/>
          <w:b w:val="0"/>
          <w:caps w:val="0"/>
          <w:color w:val="auto"/>
          <w:sz w:val="22"/>
          <w:szCs w:val="22"/>
        </w:rPr>
      </w:pPr>
      <w:r>
        <w:rPr>
          <w:b w:val="0"/>
          <w:caps w:val="0"/>
        </w:rPr>
        <w:fldChar w:fldCharType="begin"/>
      </w:r>
      <w:r w:rsidR="00900A32">
        <w:rPr>
          <w:b w:val="0"/>
          <w:caps w:val="0"/>
        </w:rPr>
        <w:instrText xml:space="preserve"> TOC \o "1-3" \h \z \u </w:instrText>
      </w:r>
      <w:r>
        <w:rPr>
          <w:b w:val="0"/>
          <w:caps w:val="0"/>
        </w:rPr>
        <w:fldChar w:fldCharType="separate"/>
      </w:r>
      <w:hyperlink w:anchor="_Toc505766330" w:history="1">
        <w:r w:rsidR="00A8107E" w:rsidRPr="008E69E4">
          <w:rPr>
            <w:rStyle w:val="Hipervnculo"/>
          </w:rPr>
          <w:t>1.</w:t>
        </w:r>
        <w:r w:rsidR="00A8107E">
          <w:rPr>
            <w:rFonts w:asciiTheme="minorHAnsi" w:eastAsiaTheme="minorEastAsia" w:hAnsiTheme="minorHAnsi" w:cstheme="minorBidi"/>
            <w:b w:val="0"/>
            <w:caps w:val="0"/>
            <w:color w:val="auto"/>
            <w:sz w:val="22"/>
            <w:szCs w:val="22"/>
          </w:rPr>
          <w:tab/>
        </w:r>
        <w:r w:rsidR="00A8107E" w:rsidRPr="008E69E4">
          <w:rPr>
            <w:rStyle w:val="Hipervnculo"/>
          </w:rPr>
          <w:t>INTRODUCCIÓN</w:t>
        </w:r>
        <w:r w:rsidR="00A8107E">
          <w:rPr>
            <w:webHidden/>
          </w:rPr>
          <w:tab/>
        </w:r>
        <w:r w:rsidR="00A8107E">
          <w:rPr>
            <w:webHidden/>
          </w:rPr>
          <w:fldChar w:fldCharType="begin"/>
        </w:r>
        <w:r w:rsidR="00A8107E">
          <w:rPr>
            <w:webHidden/>
          </w:rPr>
          <w:instrText xml:space="preserve"> PAGEREF _Toc505766330 \h </w:instrText>
        </w:r>
        <w:r w:rsidR="00A8107E">
          <w:rPr>
            <w:webHidden/>
          </w:rPr>
        </w:r>
        <w:r w:rsidR="00A8107E">
          <w:rPr>
            <w:webHidden/>
          </w:rPr>
          <w:fldChar w:fldCharType="separate"/>
        </w:r>
        <w:r w:rsidR="00A8107E">
          <w:rPr>
            <w:webHidden/>
          </w:rPr>
          <w:t>3</w:t>
        </w:r>
        <w:r w:rsidR="00A8107E">
          <w:rPr>
            <w:webHidden/>
          </w:rPr>
          <w:fldChar w:fldCharType="end"/>
        </w:r>
      </w:hyperlink>
    </w:p>
    <w:p w:rsidR="00A8107E" w:rsidRDefault="00282F4D">
      <w:pPr>
        <w:pStyle w:val="TDC1"/>
        <w:rPr>
          <w:rFonts w:asciiTheme="minorHAnsi" w:eastAsiaTheme="minorEastAsia" w:hAnsiTheme="minorHAnsi" w:cstheme="minorBidi"/>
          <w:b w:val="0"/>
          <w:caps w:val="0"/>
          <w:color w:val="auto"/>
          <w:sz w:val="22"/>
          <w:szCs w:val="22"/>
        </w:rPr>
      </w:pPr>
      <w:hyperlink w:anchor="_Toc505766331" w:history="1">
        <w:r w:rsidR="00A8107E" w:rsidRPr="008E69E4">
          <w:rPr>
            <w:rStyle w:val="Hipervnculo"/>
          </w:rPr>
          <w:t>2.</w:t>
        </w:r>
        <w:r w:rsidR="00A8107E">
          <w:rPr>
            <w:rFonts w:asciiTheme="minorHAnsi" w:eastAsiaTheme="minorEastAsia" w:hAnsiTheme="minorHAnsi" w:cstheme="minorBidi"/>
            <w:b w:val="0"/>
            <w:caps w:val="0"/>
            <w:color w:val="auto"/>
            <w:sz w:val="22"/>
            <w:szCs w:val="22"/>
          </w:rPr>
          <w:tab/>
        </w:r>
        <w:r w:rsidR="00A8107E" w:rsidRPr="008E69E4">
          <w:rPr>
            <w:rStyle w:val="Hipervnculo"/>
          </w:rPr>
          <w:t>ASPECTOS GENERALES Y CONTEXTO</w:t>
        </w:r>
        <w:r w:rsidR="00A8107E">
          <w:rPr>
            <w:webHidden/>
          </w:rPr>
          <w:tab/>
        </w:r>
        <w:r w:rsidR="00A8107E">
          <w:rPr>
            <w:webHidden/>
          </w:rPr>
          <w:fldChar w:fldCharType="begin"/>
        </w:r>
        <w:r w:rsidR="00A8107E">
          <w:rPr>
            <w:webHidden/>
          </w:rPr>
          <w:instrText xml:space="preserve"> PAGEREF _Toc505766331 \h </w:instrText>
        </w:r>
        <w:r w:rsidR="00A8107E">
          <w:rPr>
            <w:webHidden/>
          </w:rPr>
        </w:r>
        <w:r w:rsidR="00A8107E">
          <w:rPr>
            <w:webHidden/>
          </w:rPr>
          <w:fldChar w:fldCharType="separate"/>
        </w:r>
        <w:r w:rsidR="00A8107E">
          <w:rPr>
            <w:webHidden/>
          </w:rPr>
          <w:t>4</w:t>
        </w:r>
        <w:r w:rsidR="00A8107E">
          <w:rPr>
            <w:webHidden/>
          </w:rPr>
          <w:fldChar w:fldCharType="end"/>
        </w:r>
      </w:hyperlink>
    </w:p>
    <w:p w:rsidR="00A8107E" w:rsidRDefault="00282F4D">
      <w:pPr>
        <w:pStyle w:val="TDC1"/>
        <w:rPr>
          <w:rFonts w:asciiTheme="minorHAnsi" w:eastAsiaTheme="minorEastAsia" w:hAnsiTheme="minorHAnsi" w:cstheme="minorBidi"/>
          <w:b w:val="0"/>
          <w:caps w:val="0"/>
          <w:color w:val="auto"/>
          <w:sz w:val="22"/>
          <w:szCs w:val="22"/>
        </w:rPr>
      </w:pPr>
      <w:hyperlink w:anchor="_Toc505766332" w:history="1">
        <w:r w:rsidR="00A8107E" w:rsidRPr="008E69E4">
          <w:rPr>
            <w:rStyle w:val="Hipervnculo"/>
          </w:rPr>
          <w:t>3.</w:t>
        </w:r>
        <w:r w:rsidR="00A8107E">
          <w:rPr>
            <w:rFonts w:asciiTheme="minorHAnsi" w:eastAsiaTheme="minorEastAsia" w:hAnsiTheme="minorHAnsi" w:cstheme="minorBidi"/>
            <w:b w:val="0"/>
            <w:caps w:val="0"/>
            <w:color w:val="auto"/>
            <w:sz w:val="22"/>
            <w:szCs w:val="22"/>
          </w:rPr>
          <w:tab/>
        </w:r>
        <w:r w:rsidR="00A8107E" w:rsidRPr="008E69E4">
          <w:rPr>
            <w:rStyle w:val="Hipervnculo"/>
          </w:rPr>
          <w:t>ESTRATEGIA, CALIDAD, cumplimiento Y TRANSPARENCIA</w:t>
        </w:r>
        <w:r w:rsidR="00A8107E">
          <w:rPr>
            <w:webHidden/>
          </w:rPr>
          <w:tab/>
        </w:r>
        <w:r w:rsidR="00A8107E">
          <w:rPr>
            <w:webHidden/>
          </w:rPr>
          <w:fldChar w:fldCharType="begin"/>
        </w:r>
        <w:r w:rsidR="00A8107E">
          <w:rPr>
            <w:webHidden/>
          </w:rPr>
          <w:instrText xml:space="preserve"> PAGEREF _Toc505766332 \h </w:instrText>
        </w:r>
        <w:r w:rsidR="00A8107E">
          <w:rPr>
            <w:webHidden/>
          </w:rPr>
        </w:r>
        <w:r w:rsidR="00A8107E">
          <w:rPr>
            <w:webHidden/>
          </w:rPr>
          <w:fldChar w:fldCharType="separate"/>
        </w:r>
        <w:r w:rsidR="00A8107E">
          <w:rPr>
            <w:webHidden/>
          </w:rPr>
          <w:t>5</w:t>
        </w:r>
        <w:r w:rsidR="00A8107E">
          <w:rPr>
            <w:webHidden/>
          </w:rPr>
          <w:fldChar w:fldCharType="end"/>
        </w:r>
      </w:hyperlink>
    </w:p>
    <w:p w:rsidR="00A8107E" w:rsidRDefault="00282F4D">
      <w:pPr>
        <w:pStyle w:val="TDC1"/>
        <w:rPr>
          <w:rFonts w:asciiTheme="minorHAnsi" w:eastAsiaTheme="minorEastAsia" w:hAnsiTheme="minorHAnsi" w:cstheme="minorBidi"/>
          <w:b w:val="0"/>
          <w:caps w:val="0"/>
          <w:color w:val="auto"/>
          <w:sz w:val="22"/>
          <w:szCs w:val="22"/>
        </w:rPr>
      </w:pPr>
      <w:hyperlink w:anchor="_Toc505766333" w:history="1">
        <w:r w:rsidR="00A8107E" w:rsidRPr="008E69E4">
          <w:rPr>
            <w:rStyle w:val="Hipervnculo"/>
          </w:rPr>
          <w:t>4.</w:t>
        </w:r>
        <w:r w:rsidR="00A8107E">
          <w:rPr>
            <w:rFonts w:asciiTheme="minorHAnsi" w:eastAsiaTheme="minorEastAsia" w:hAnsiTheme="minorHAnsi" w:cstheme="minorBidi"/>
            <w:b w:val="0"/>
            <w:caps w:val="0"/>
            <w:color w:val="auto"/>
            <w:sz w:val="22"/>
            <w:szCs w:val="22"/>
          </w:rPr>
          <w:tab/>
        </w:r>
        <w:r w:rsidR="00A8107E" w:rsidRPr="008E69E4">
          <w:rPr>
            <w:rStyle w:val="Hipervnculo"/>
          </w:rPr>
          <w:t>COMPROMISO CON LAS PERSONAS</w:t>
        </w:r>
        <w:r w:rsidR="00A8107E">
          <w:rPr>
            <w:webHidden/>
          </w:rPr>
          <w:tab/>
        </w:r>
        <w:r w:rsidR="00A8107E">
          <w:rPr>
            <w:webHidden/>
          </w:rPr>
          <w:fldChar w:fldCharType="begin"/>
        </w:r>
        <w:r w:rsidR="00A8107E">
          <w:rPr>
            <w:webHidden/>
          </w:rPr>
          <w:instrText xml:space="preserve"> PAGEREF _Toc505766333 \h </w:instrText>
        </w:r>
        <w:r w:rsidR="00A8107E">
          <w:rPr>
            <w:webHidden/>
          </w:rPr>
        </w:r>
        <w:r w:rsidR="00A8107E">
          <w:rPr>
            <w:webHidden/>
          </w:rPr>
          <w:fldChar w:fldCharType="separate"/>
        </w:r>
        <w:r w:rsidR="00A8107E">
          <w:rPr>
            <w:webHidden/>
          </w:rPr>
          <w:t>7</w:t>
        </w:r>
        <w:r w:rsidR="00A8107E">
          <w:rPr>
            <w:webHidden/>
          </w:rPr>
          <w:fldChar w:fldCharType="end"/>
        </w:r>
      </w:hyperlink>
    </w:p>
    <w:p w:rsidR="00A8107E" w:rsidRDefault="00282F4D">
      <w:pPr>
        <w:pStyle w:val="TDC1"/>
        <w:rPr>
          <w:rFonts w:asciiTheme="minorHAnsi" w:eastAsiaTheme="minorEastAsia" w:hAnsiTheme="minorHAnsi" w:cstheme="minorBidi"/>
          <w:b w:val="0"/>
          <w:caps w:val="0"/>
          <w:color w:val="auto"/>
          <w:sz w:val="22"/>
          <w:szCs w:val="22"/>
        </w:rPr>
      </w:pPr>
      <w:hyperlink w:anchor="_Toc505766334" w:history="1">
        <w:r w:rsidR="00A8107E" w:rsidRPr="008E69E4">
          <w:rPr>
            <w:rStyle w:val="Hipervnculo"/>
          </w:rPr>
          <w:t>5.</w:t>
        </w:r>
        <w:r w:rsidR="00A8107E">
          <w:rPr>
            <w:rFonts w:asciiTheme="minorHAnsi" w:eastAsiaTheme="minorEastAsia" w:hAnsiTheme="minorHAnsi" w:cstheme="minorBidi"/>
            <w:b w:val="0"/>
            <w:caps w:val="0"/>
            <w:color w:val="auto"/>
            <w:sz w:val="22"/>
            <w:szCs w:val="22"/>
          </w:rPr>
          <w:tab/>
        </w:r>
        <w:r w:rsidR="00A8107E" w:rsidRPr="008E69E4">
          <w:rPr>
            <w:rStyle w:val="Hipervnculo"/>
          </w:rPr>
          <w:t>COMPROMISO CON EL MEDIOAMBIENTE</w:t>
        </w:r>
        <w:r w:rsidR="00A8107E">
          <w:rPr>
            <w:webHidden/>
          </w:rPr>
          <w:tab/>
        </w:r>
        <w:r w:rsidR="00A8107E">
          <w:rPr>
            <w:webHidden/>
          </w:rPr>
          <w:fldChar w:fldCharType="begin"/>
        </w:r>
        <w:r w:rsidR="00A8107E">
          <w:rPr>
            <w:webHidden/>
          </w:rPr>
          <w:instrText xml:space="preserve"> PAGEREF _Toc505766334 \h </w:instrText>
        </w:r>
        <w:r w:rsidR="00A8107E">
          <w:rPr>
            <w:webHidden/>
          </w:rPr>
        </w:r>
        <w:r w:rsidR="00A8107E">
          <w:rPr>
            <w:webHidden/>
          </w:rPr>
          <w:fldChar w:fldCharType="separate"/>
        </w:r>
        <w:r w:rsidR="00A8107E">
          <w:rPr>
            <w:webHidden/>
          </w:rPr>
          <w:t>8</w:t>
        </w:r>
        <w:r w:rsidR="00A8107E">
          <w:rPr>
            <w:webHidden/>
          </w:rPr>
          <w:fldChar w:fldCharType="end"/>
        </w:r>
      </w:hyperlink>
    </w:p>
    <w:p w:rsidR="00A8107E" w:rsidRDefault="00282F4D">
      <w:pPr>
        <w:pStyle w:val="TDC1"/>
        <w:rPr>
          <w:rFonts w:asciiTheme="minorHAnsi" w:eastAsiaTheme="minorEastAsia" w:hAnsiTheme="minorHAnsi" w:cstheme="minorBidi"/>
          <w:b w:val="0"/>
          <w:caps w:val="0"/>
          <w:color w:val="auto"/>
          <w:sz w:val="22"/>
          <w:szCs w:val="22"/>
        </w:rPr>
      </w:pPr>
      <w:hyperlink w:anchor="_Toc505766335" w:history="1">
        <w:r w:rsidR="00A8107E" w:rsidRPr="008E69E4">
          <w:rPr>
            <w:rStyle w:val="Hipervnculo"/>
          </w:rPr>
          <w:t>6.</w:t>
        </w:r>
        <w:r w:rsidR="00A8107E">
          <w:rPr>
            <w:rFonts w:asciiTheme="minorHAnsi" w:eastAsiaTheme="minorEastAsia" w:hAnsiTheme="minorHAnsi" w:cstheme="minorBidi"/>
            <w:b w:val="0"/>
            <w:caps w:val="0"/>
            <w:color w:val="auto"/>
            <w:sz w:val="22"/>
            <w:szCs w:val="22"/>
          </w:rPr>
          <w:tab/>
        </w:r>
        <w:r w:rsidR="00A8107E" w:rsidRPr="008E69E4">
          <w:rPr>
            <w:rStyle w:val="Hipervnculo"/>
          </w:rPr>
          <w:t>SERVICIOS BROADCAST</w:t>
        </w:r>
        <w:r w:rsidR="00A8107E">
          <w:rPr>
            <w:webHidden/>
          </w:rPr>
          <w:tab/>
        </w:r>
        <w:r w:rsidR="00A8107E">
          <w:rPr>
            <w:webHidden/>
          </w:rPr>
          <w:fldChar w:fldCharType="begin"/>
        </w:r>
        <w:r w:rsidR="00A8107E">
          <w:rPr>
            <w:webHidden/>
          </w:rPr>
          <w:instrText xml:space="preserve"> PAGEREF _Toc505766335 \h </w:instrText>
        </w:r>
        <w:r w:rsidR="00A8107E">
          <w:rPr>
            <w:webHidden/>
          </w:rPr>
        </w:r>
        <w:r w:rsidR="00A8107E">
          <w:rPr>
            <w:webHidden/>
          </w:rPr>
          <w:fldChar w:fldCharType="separate"/>
        </w:r>
        <w:r w:rsidR="00A8107E">
          <w:rPr>
            <w:webHidden/>
          </w:rPr>
          <w:t>9</w:t>
        </w:r>
        <w:r w:rsidR="00A8107E">
          <w:rPr>
            <w:webHidden/>
          </w:rPr>
          <w:fldChar w:fldCharType="end"/>
        </w:r>
      </w:hyperlink>
    </w:p>
    <w:p w:rsidR="00A8107E" w:rsidRDefault="00282F4D">
      <w:pPr>
        <w:pStyle w:val="TDC1"/>
        <w:rPr>
          <w:rFonts w:asciiTheme="minorHAnsi" w:eastAsiaTheme="minorEastAsia" w:hAnsiTheme="minorHAnsi" w:cstheme="minorBidi"/>
          <w:b w:val="0"/>
          <w:caps w:val="0"/>
          <w:color w:val="auto"/>
          <w:sz w:val="22"/>
          <w:szCs w:val="22"/>
        </w:rPr>
      </w:pPr>
      <w:hyperlink w:anchor="_Toc505766336" w:history="1">
        <w:r w:rsidR="00A8107E" w:rsidRPr="008E69E4">
          <w:rPr>
            <w:rStyle w:val="Hipervnculo"/>
          </w:rPr>
          <w:t>7.</w:t>
        </w:r>
        <w:r w:rsidR="00A8107E">
          <w:rPr>
            <w:rFonts w:asciiTheme="minorHAnsi" w:eastAsiaTheme="minorEastAsia" w:hAnsiTheme="minorHAnsi" w:cstheme="minorBidi"/>
            <w:b w:val="0"/>
            <w:caps w:val="0"/>
            <w:color w:val="auto"/>
            <w:sz w:val="22"/>
            <w:szCs w:val="22"/>
          </w:rPr>
          <w:tab/>
        </w:r>
        <w:r w:rsidR="00A8107E" w:rsidRPr="008E69E4">
          <w:rPr>
            <w:rStyle w:val="Hipervnculo"/>
          </w:rPr>
          <w:t>SERVICIOS TETRA Y OTROS SERVICIOS</w:t>
        </w:r>
        <w:r w:rsidR="00A8107E">
          <w:rPr>
            <w:webHidden/>
          </w:rPr>
          <w:tab/>
        </w:r>
        <w:r w:rsidR="00A8107E">
          <w:rPr>
            <w:webHidden/>
          </w:rPr>
          <w:fldChar w:fldCharType="begin"/>
        </w:r>
        <w:r w:rsidR="00A8107E">
          <w:rPr>
            <w:webHidden/>
          </w:rPr>
          <w:instrText xml:space="preserve"> PAGEREF _Toc505766336 \h </w:instrText>
        </w:r>
        <w:r w:rsidR="00A8107E">
          <w:rPr>
            <w:webHidden/>
          </w:rPr>
        </w:r>
        <w:r w:rsidR="00A8107E">
          <w:rPr>
            <w:webHidden/>
          </w:rPr>
          <w:fldChar w:fldCharType="separate"/>
        </w:r>
        <w:r w:rsidR="00A8107E">
          <w:rPr>
            <w:webHidden/>
          </w:rPr>
          <w:t>10</w:t>
        </w:r>
        <w:r w:rsidR="00A8107E">
          <w:rPr>
            <w:webHidden/>
          </w:rPr>
          <w:fldChar w:fldCharType="end"/>
        </w:r>
      </w:hyperlink>
    </w:p>
    <w:p w:rsidR="00A8107E" w:rsidRDefault="00282F4D">
      <w:pPr>
        <w:pStyle w:val="TDC1"/>
        <w:rPr>
          <w:rFonts w:asciiTheme="minorHAnsi" w:eastAsiaTheme="minorEastAsia" w:hAnsiTheme="minorHAnsi" w:cstheme="minorBidi"/>
          <w:b w:val="0"/>
          <w:caps w:val="0"/>
          <w:color w:val="auto"/>
          <w:sz w:val="22"/>
          <w:szCs w:val="22"/>
        </w:rPr>
      </w:pPr>
      <w:hyperlink w:anchor="_Toc505766337" w:history="1">
        <w:r w:rsidR="00A8107E" w:rsidRPr="008E69E4">
          <w:rPr>
            <w:rStyle w:val="Hipervnculo"/>
          </w:rPr>
          <w:t>8.</w:t>
        </w:r>
        <w:r w:rsidR="00A8107E">
          <w:rPr>
            <w:rFonts w:asciiTheme="minorHAnsi" w:eastAsiaTheme="minorEastAsia" w:hAnsiTheme="minorHAnsi" w:cstheme="minorBidi"/>
            <w:b w:val="0"/>
            <w:caps w:val="0"/>
            <w:color w:val="auto"/>
            <w:sz w:val="22"/>
            <w:szCs w:val="22"/>
          </w:rPr>
          <w:tab/>
        </w:r>
        <w:r w:rsidR="00A8107E" w:rsidRPr="008E69E4">
          <w:rPr>
            <w:rStyle w:val="Hipervnculo"/>
          </w:rPr>
          <w:t>GESTIÓN DE INFRAESTRUCTURAS FÍSICAS Y LÓGICAS</w:t>
        </w:r>
        <w:r w:rsidR="00A8107E">
          <w:rPr>
            <w:webHidden/>
          </w:rPr>
          <w:tab/>
        </w:r>
        <w:r w:rsidR="00A8107E">
          <w:rPr>
            <w:webHidden/>
          </w:rPr>
          <w:fldChar w:fldCharType="begin"/>
        </w:r>
        <w:r w:rsidR="00A8107E">
          <w:rPr>
            <w:webHidden/>
          </w:rPr>
          <w:instrText xml:space="preserve"> PAGEREF _Toc505766337 \h </w:instrText>
        </w:r>
        <w:r w:rsidR="00A8107E">
          <w:rPr>
            <w:webHidden/>
          </w:rPr>
        </w:r>
        <w:r w:rsidR="00A8107E">
          <w:rPr>
            <w:webHidden/>
          </w:rPr>
          <w:fldChar w:fldCharType="separate"/>
        </w:r>
        <w:r w:rsidR="00A8107E">
          <w:rPr>
            <w:webHidden/>
          </w:rPr>
          <w:t>11</w:t>
        </w:r>
        <w:r w:rsidR="00A8107E">
          <w:rPr>
            <w:webHidden/>
          </w:rPr>
          <w:fldChar w:fldCharType="end"/>
        </w:r>
      </w:hyperlink>
    </w:p>
    <w:p w:rsidR="0091124F" w:rsidRPr="004B059B" w:rsidRDefault="00696090" w:rsidP="0091124F">
      <w:pPr>
        <w:pStyle w:val="ITETexto1"/>
      </w:pPr>
      <w:r>
        <w:rPr>
          <w:b/>
          <w:caps/>
          <w:noProof/>
          <w:color w:val="25163A"/>
          <w:szCs w:val="32"/>
        </w:rPr>
        <w:fldChar w:fldCharType="end"/>
      </w:r>
    </w:p>
    <w:p w:rsidR="0091124F" w:rsidRDefault="00A3306B" w:rsidP="0091124F">
      <w:pPr>
        <w:pStyle w:val="ITETitulo1"/>
      </w:pPr>
      <w:bookmarkStart w:id="0" w:name="_Toc505766330"/>
      <w:r>
        <w:lastRenderedPageBreak/>
        <w:t>INTRODUCCIÓN</w:t>
      </w:r>
      <w:bookmarkEnd w:id="0"/>
    </w:p>
    <w:p w:rsidR="00A3306B" w:rsidRDefault="00A3306B" w:rsidP="00A3306B">
      <w:pPr>
        <w:pStyle w:val="ITETexto1"/>
      </w:pPr>
      <w:r>
        <w:t xml:space="preserve">El Plan Anual contenido en el presente documento presenta un resumen de las principales actuaciones </w:t>
      </w:r>
      <w:r w:rsidR="00457DA8">
        <w:t>previstas para el ejercicio 2018</w:t>
      </w:r>
      <w:r>
        <w:t xml:space="preserve"> e</w:t>
      </w:r>
      <w:r w:rsidR="00457DA8">
        <w:t>n los diferentes planes de los P</w:t>
      </w:r>
      <w:r>
        <w:t>rocesos que integran</w:t>
      </w:r>
      <w:r w:rsidR="00457DA8">
        <w:t xml:space="preserve"> la gestión de</w:t>
      </w:r>
      <w:r>
        <w:t xml:space="preserve"> la organización.</w:t>
      </w:r>
    </w:p>
    <w:p w:rsidR="00A3306B" w:rsidRDefault="00A3306B" w:rsidP="00A3306B">
      <w:pPr>
        <w:pStyle w:val="ITETexto1"/>
      </w:pPr>
      <w:r>
        <w:t xml:space="preserve">Asimismo, es de reseñar que este Plan </w:t>
      </w:r>
      <w:r w:rsidR="00112836">
        <w:t>despliega</w:t>
      </w:r>
      <w:r>
        <w:t xml:space="preserve"> el </w:t>
      </w:r>
      <w:r w:rsidR="00F13BEC">
        <w:t>P</w:t>
      </w:r>
      <w:r>
        <w:t>lan Estratégico 2017-2020</w:t>
      </w:r>
      <w:r w:rsidR="00457DA8">
        <w:t xml:space="preserve"> en lo que a la anualidad 2018</w:t>
      </w:r>
      <w:r w:rsidR="00112836">
        <w:t xml:space="preserve"> respecta</w:t>
      </w:r>
      <w:r>
        <w:t>. Por tanto, las fuentes que alimentan la planificación que se presenta están conformadas, principalmente, por las determinaciones del Plan Estratégico y por las expectativas de nuestros grupos de interés o partes interesadas, que han servido para dotar los diferentes planes anuales de los procesos.</w:t>
      </w:r>
    </w:p>
    <w:p w:rsidR="00112836" w:rsidRDefault="00112836" w:rsidP="00A3306B">
      <w:pPr>
        <w:pStyle w:val="ITETexto1"/>
      </w:pPr>
      <w:r>
        <w:t>La planificación aquí contenida se revisa, actualiza y mide de manera periódica</w:t>
      </w:r>
      <w:r w:rsidR="007E38C4">
        <w:t>.</w:t>
      </w:r>
    </w:p>
    <w:p w:rsidR="00151ABF" w:rsidRPr="00F41D45" w:rsidRDefault="00151ABF" w:rsidP="001E1F7B">
      <w:pPr>
        <w:pStyle w:val="ITETexto1"/>
        <w:rPr>
          <w:b/>
          <w:color w:val="365F91" w:themeColor="accent1" w:themeShade="BF"/>
        </w:rPr>
      </w:pPr>
      <w:r w:rsidRPr="001E1F7B">
        <w:t>Las magnitudes económicas asociadas a las actuaciones que se recogen en el presente documento pueden consultarse en la siguiente dirección</w:t>
      </w:r>
      <w:r w:rsidR="00F41D45" w:rsidRPr="001E1F7B">
        <w:t xml:space="preserve"> web</w:t>
      </w:r>
      <w:r w:rsidRPr="001E1F7B">
        <w:t>:</w:t>
      </w:r>
      <w:r w:rsidR="00F41D45" w:rsidRPr="001E1F7B">
        <w:t xml:space="preserve"> </w:t>
      </w:r>
      <w:hyperlink r:id="rId11" w:history="1">
        <w:r w:rsidR="00F41D45" w:rsidRPr="001E1F7B">
          <w:rPr>
            <w:rStyle w:val="Hipervnculo"/>
            <w:b/>
          </w:rPr>
          <w:t xml:space="preserve">Presupuestos </w:t>
        </w:r>
        <w:r w:rsidR="00457DA8">
          <w:rPr>
            <w:rStyle w:val="Hipervnculo"/>
            <w:b/>
          </w:rPr>
          <w:t>Generales de la</w:t>
        </w:r>
        <w:r w:rsidR="00F41D45" w:rsidRPr="001E1F7B">
          <w:rPr>
            <w:rStyle w:val="Hipervnculo"/>
            <w:b/>
          </w:rPr>
          <w:t xml:space="preserve"> CAE</w:t>
        </w:r>
      </w:hyperlink>
    </w:p>
    <w:p w:rsidR="00A3306B" w:rsidRDefault="00A56A1F" w:rsidP="00A3306B">
      <w:pPr>
        <w:pStyle w:val="ITETexto1"/>
      </w:pPr>
      <w:r>
        <w:t>L</w:t>
      </w:r>
      <w:r w:rsidR="007E38C4">
        <w:t xml:space="preserve">a presente planificación anual se enmarca en el despliegue </w:t>
      </w:r>
      <w:r w:rsidR="007E38C4" w:rsidRPr="00261604">
        <w:t>del</w:t>
      </w:r>
      <w:r w:rsidRPr="00261604">
        <w:t xml:space="preserve"> referido</w:t>
      </w:r>
      <w:r w:rsidR="007E38C4">
        <w:t xml:space="preserve"> Plan Estratégico 2017-2020, que se representa en </w:t>
      </w:r>
      <w:r w:rsidR="007E38C4" w:rsidRPr="004B761C">
        <w:t>el siguiente cuadro</w:t>
      </w:r>
      <w:r w:rsidR="007E38C4">
        <w:t>:</w:t>
      </w:r>
    </w:p>
    <w:p w:rsidR="004B761C" w:rsidRPr="00A3306B" w:rsidRDefault="004B761C" w:rsidP="00A3306B">
      <w:pPr>
        <w:pStyle w:val="ITETexto1"/>
      </w:pPr>
      <w:r>
        <w:rPr>
          <w:noProof/>
        </w:rPr>
        <w:drawing>
          <wp:inline distT="0" distB="0" distL="0" distR="0">
            <wp:extent cx="5759450" cy="406654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OADMAP_2017_2020_ca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59450" cy="4066540"/>
                    </a:xfrm>
                    <a:prstGeom prst="rect">
                      <a:avLst/>
                    </a:prstGeom>
                  </pic:spPr>
                </pic:pic>
              </a:graphicData>
            </a:graphic>
          </wp:inline>
        </w:drawing>
      </w:r>
    </w:p>
    <w:p w:rsidR="0091124F" w:rsidRDefault="007E38C4" w:rsidP="00243034">
      <w:pPr>
        <w:pStyle w:val="ITETitulo1"/>
      </w:pPr>
      <w:bookmarkStart w:id="1" w:name="_Toc505766331"/>
      <w:r>
        <w:lastRenderedPageBreak/>
        <w:t>ASPECTOS GENERALES Y CONTEXTO</w:t>
      </w:r>
      <w:bookmarkEnd w:id="1"/>
    </w:p>
    <w:p w:rsidR="007E38C4" w:rsidRDefault="007E38C4" w:rsidP="007E38C4">
      <w:pPr>
        <w:pStyle w:val="ITETexto1"/>
      </w:pPr>
      <w:r>
        <w:t xml:space="preserve">El contexto económico general en nuestro entorno ha experimentado una evolución positiva, sus </w:t>
      </w:r>
      <w:r w:rsidRPr="00261604">
        <w:t>efectos son perceptibles</w:t>
      </w:r>
      <w:r w:rsidR="006D52D9" w:rsidRPr="00261604">
        <w:t>, por ejemplo en el importante incremento de ingresos en</w:t>
      </w:r>
      <w:r w:rsidR="00B85854" w:rsidRPr="00261604">
        <w:t xml:space="preserve"> materia recaudatoria</w:t>
      </w:r>
      <w:r w:rsidR="00A56A1F" w:rsidRPr="00261604">
        <w:t xml:space="preserve"> </w:t>
      </w:r>
      <w:r w:rsidR="004956D0" w:rsidRPr="00261604">
        <w:t>y</w:t>
      </w:r>
      <w:r w:rsidR="00261604" w:rsidRPr="00261604">
        <w:t>,</w:t>
      </w:r>
      <w:r w:rsidR="004956D0" w:rsidRPr="00261604">
        <w:t xml:space="preserve"> </w:t>
      </w:r>
      <w:r w:rsidR="00A56A1F" w:rsidRPr="00261604">
        <w:t>aunque en menor medida</w:t>
      </w:r>
      <w:r w:rsidR="00261604" w:rsidRPr="00261604">
        <w:t>,</w:t>
      </w:r>
      <w:r w:rsidR="00B85854" w:rsidRPr="00261604">
        <w:t xml:space="preserve"> </w:t>
      </w:r>
      <w:r w:rsidR="00A56A1F" w:rsidRPr="00261604">
        <w:t xml:space="preserve">también </w:t>
      </w:r>
      <w:r w:rsidR="00B85854" w:rsidRPr="00261604">
        <w:t>en el plano social</w:t>
      </w:r>
      <w:r w:rsidR="00A56A1F" w:rsidRPr="00261604">
        <w:t xml:space="preserve">, </w:t>
      </w:r>
      <w:r w:rsidR="006D52D9" w:rsidRPr="00261604">
        <w:t>donde</w:t>
      </w:r>
      <w:r w:rsidR="00A56A1F" w:rsidRPr="00261604">
        <w:t xml:space="preserve"> el impacto del cambio de ciclo económico se </w:t>
      </w:r>
      <w:r w:rsidR="006D52D9" w:rsidRPr="00261604">
        <w:t>prevé será más acentuado</w:t>
      </w:r>
      <w:r w:rsidR="00A56A1F" w:rsidRPr="00261604">
        <w:t xml:space="preserve"> en los próximos años</w:t>
      </w:r>
      <w:r w:rsidRPr="00261604">
        <w:t xml:space="preserve">. </w:t>
      </w:r>
      <w:r w:rsidR="00B82F7A" w:rsidRPr="00261604">
        <w:t>El mayor ingreso público</w:t>
      </w:r>
      <w:r w:rsidR="00B82F7A">
        <w:t xml:space="preserve"> derivado de la mejoría referida hace factible descartar cualquier escenario de recortes presupuestarios a lo largo del ejercicio que nos ocupa</w:t>
      </w:r>
      <w:r>
        <w:t xml:space="preserve">. Sin embargo, </w:t>
      </w:r>
      <w:r w:rsidR="00B82F7A">
        <w:t>el presupuesto de gasto de la sociedad muestra una realidad de contenci</w:t>
      </w:r>
      <w:r w:rsidR="00B85854">
        <w:t>ón, en línea con los ejercicios anteriores.</w:t>
      </w:r>
    </w:p>
    <w:p w:rsidR="007E38C4" w:rsidRDefault="007E38C4" w:rsidP="007E38C4">
      <w:pPr>
        <w:pStyle w:val="ITETexto1"/>
      </w:pPr>
      <w:r>
        <w:t xml:space="preserve">Otro de los marcos que influye en la actividad de ITELAZPI es el jurídico-regulatorio. </w:t>
      </w:r>
      <w:r w:rsidR="00B82F7A">
        <w:t>En 2017 se ha adoptado definitiva y formalmente la reserva de espectro en la banda sub 700 hasta 2030, lo que comporta un escenario seguro a medio-largo plazo, que permite abordar con normalidad las inversiones que resulten procedentes en materia de TDT. Todo ello permite abordar el 2º dividendo digital con el futuro despejado, si bien el despliegue efectivo es probable que no se aborde hasta 2019.</w:t>
      </w:r>
    </w:p>
    <w:p w:rsidR="007E38C4" w:rsidRDefault="007E38C4" w:rsidP="007E38C4">
      <w:pPr>
        <w:pStyle w:val="ITETexto1"/>
      </w:pPr>
      <w:r>
        <w:t>Dentro del apartado regulatorio conviene mencionar</w:t>
      </w:r>
      <w:r w:rsidR="00DD0565">
        <w:t xml:space="preserve"> también</w:t>
      </w:r>
      <w:r>
        <w:t xml:space="preserve"> la entrada en vigor de la Ley de Contratos del Sector Público (LCSP)</w:t>
      </w:r>
      <w:r w:rsidR="002D29D0">
        <w:t xml:space="preserve"> el 9 de marzo</w:t>
      </w:r>
      <w:r w:rsidR="00B85854">
        <w:t xml:space="preserve"> de 2018</w:t>
      </w:r>
      <w:r>
        <w:t xml:space="preserve">, </w:t>
      </w:r>
      <w:r w:rsidR="00EF1A35">
        <w:t>la</w:t>
      </w:r>
      <w:r>
        <w:t xml:space="preserve"> cual recoge</w:t>
      </w:r>
      <w:r w:rsidR="002D29D0">
        <w:t xml:space="preserve">, entre otros aspectos novedosos, </w:t>
      </w:r>
      <w:r>
        <w:t xml:space="preserve">una nueva regulación de los medios propios </w:t>
      </w:r>
      <w:r w:rsidR="00B85854">
        <w:t>personificados</w:t>
      </w:r>
      <w:r>
        <w:t xml:space="preserve"> y el régimen de articulación de encargos de los po</w:t>
      </w:r>
      <w:r w:rsidR="00DD0565">
        <w:t>deres adjudicadores hacia estos, lo que incide de manera directa en el núcleo de la actividad de ITELAZPI.</w:t>
      </w:r>
    </w:p>
    <w:p w:rsidR="007E38C4" w:rsidRDefault="007E38C4" w:rsidP="007E38C4">
      <w:pPr>
        <w:pStyle w:val="ITETexto1"/>
      </w:pPr>
      <w:r>
        <w:t>Por lo que respecta a nuestros grupos de interés, no se han producido circunstancias que alteren sus expectativas y necesidades respecto de las identificadas en su momento.</w:t>
      </w:r>
    </w:p>
    <w:p w:rsidR="007E38C4" w:rsidRDefault="007E38C4" w:rsidP="007E38C4">
      <w:pPr>
        <w:pStyle w:val="ITETexto1"/>
      </w:pPr>
      <w:r>
        <w:t xml:space="preserve">En el entorno interno, </w:t>
      </w:r>
      <w:r w:rsidR="002D29D0">
        <w:t xml:space="preserve">de manera coincidente con el inicio del ejercicio, </w:t>
      </w:r>
      <w:r w:rsidR="00007560">
        <w:t>se ha producido un</w:t>
      </w:r>
      <w:r w:rsidR="00573500">
        <w:t xml:space="preserve"> cambio en la Dirección General, que podría afectar, en su caso, a la estructura organizativa de la empresa.</w:t>
      </w:r>
    </w:p>
    <w:p w:rsidR="007E38C4" w:rsidRDefault="007E38C4" w:rsidP="007E38C4">
      <w:pPr>
        <w:pStyle w:val="ITETexto1"/>
      </w:pPr>
    </w:p>
    <w:p w:rsidR="007E38C4" w:rsidRDefault="007E38C4" w:rsidP="007E38C4">
      <w:pPr>
        <w:pStyle w:val="ITETexto1"/>
      </w:pPr>
    </w:p>
    <w:p w:rsidR="00EF1A35" w:rsidRPr="00EF1A35" w:rsidRDefault="00EF1A35" w:rsidP="00EF1A35">
      <w:pPr>
        <w:keepNext/>
        <w:keepLines/>
        <w:pageBreakBefore/>
        <w:numPr>
          <w:ilvl w:val="0"/>
          <w:numId w:val="3"/>
        </w:numPr>
        <w:pBdr>
          <w:top w:val="single" w:sz="18" w:space="2" w:color="595959"/>
        </w:pBdr>
        <w:spacing w:before="240" w:after="240"/>
        <w:jc w:val="both"/>
        <w:outlineLvl w:val="0"/>
        <w:rPr>
          <w:rFonts w:cs="Times New Roman"/>
          <w:b/>
          <w:caps/>
          <w:sz w:val="22"/>
          <w:szCs w:val="28"/>
        </w:rPr>
      </w:pPr>
      <w:bookmarkStart w:id="2" w:name="_Toc444083063"/>
      <w:bookmarkStart w:id="3" w:name="_Toc505766332"/>
      <w:r w:rsidRPr="00EF1A35">
        <w:rPr>
          <w:rFonts w:cs="Times New Roman"/>
          <w:b/>
          <w:caps/>
          <w:sz w:val="22"/>
          <w:szCs w:val="28"/>
        </w:rPr>
        <w:lastRenderedPageBreak/>
        <w:t>ESTRATEGIA, CALIDAD</w:t>
      </w:r>
      <w:r w:rsidR="00282F4D">
        <w:rPr>
          <w:rFonts w:cs="Times New Roman"/>
          <w:b/>
          <w:caps/>
          <w:sz w:val="22"/>
          <w:szCs w:val="28"/>
        </w:rPr>
        <w:t xml:space="preserve"> y </w:t>
      </w:r>
      <w:r w:rsidR="004C213A" w:rsidRPr="00282F4D">
        <w:rPr>
          <w:rFonts w:cs="Times New Roman"/>
          <w:b/>
          <w:caps/>
          <w:color w:val="auto"/>
          <w:sz w:val="22"/>
          <w:szCs w:val="28"/>
        </w:rPr>
        <w:t xml:space="preserve">cumplimiento </w:t>
      </w:r>
      <w:bookmarkEnd w:id="2"/>
      <w:bookmarkEnd w:id="3"/>
    </w:p>
    <w:p w:rsidR="00EF1A35" w:rsidRDefault="00573500" w:rsidP="007E38C4">
      <w:pPr>
        <w:pStyle w:val="ITETexto1"/>
      </w:pPr>
      <w:r>
        <w:t>Dos son los aspectos más relevantes que han de ocupar el quehacer de la sociedad en esta parcela: de una parte, el mantenimiento y desarrollo de los sistemas de calidad de gestión ahondando en la materialización del principio de mejora continua y, de otra parte, el aseguramiento del correcto desarrollo del Plan Estratégico, mediante su revisión continua y su traslación al Plan Anual de 2018.</w:t>
      </w:r>
    </w:p>
    <w:p w:rsidR="00EF1A35" w:rsidRDefault="009C1058" w:rsidP="007E38C4">
      <w:pPr>
        <w:pStyle w:val="ITETexto1"/>
      </w:pPr>
      <w:r>
        <w:t>En materia de calidad</w:t>
      </w:r>
      <w:r w:rsidR="00B22758">
        <w:t xml:space="preserve"> en la gestión</w:t>
      </w:r>
      <w:r>
        <w:t xml:space="preserve">, </w:t>
      </w:r>
      <w:r w:rsidR="00B22758">
        <w:t>además de renovar el certificado ISO 9001:2015, abordaremos la revisi</w:t>
      </w:r>
      <w:r w:rsidR="0058603C">
        <w:t>ón del sistema</w:t>
      </w:r>
      <w:r w:rsidR="00B22758">
        <w:t>, en concreto</w:t>
      </w:r>
      <w:r w:rsidR="00007560">
        <w:t>,</w:t>
      </w:r>
      <w:r w:rsidR="00B22758">
        <w:t xml:space="preserve"> analizaremos la posible extensión del alcance del </w:t>
      </w:r>
      <w:r w:rsidR="00DF5C19">
        <w:t>mismo</w:t>
      </w:r>
      <w:r w:rsidR="00B22758">
        <w:t xml:space="preserve"> al diseño de servicios</w:t>
      </w:r>
      <w:r>
        <w:t>.</w:t>
      </w:r>
    </w:p>
    <w:p w:rsidR="009C1058" w:rsidRDefault="009C1058" w:rsidP="007E38C4">
      <w:pPr>
        <w:pStyle w:val="ITETexto1"/>
      </w:pPr>
      <w:r>
        <w:t xml:space="preserve">En materia de cumplimiento penal, </w:t>
      </w:r>
      <w:r w:rsidR="006A6E1A">
        <w:t>nos planteamos llevar a cabo algunos ajustes del sistema, adoptar un nuevo Código Ético y, desde luego, renovar la certificación UNE 19601 obtenida en 2017</w:t>
      </w:r>
      <w:r>
        <w:t>.</w:t>
      </w:r>
    </w:p>
    <w:p w:rsidR="00282F4D" w:rsidRPr="00282F4D" w:rsidRDefault="00282F4D" w:rsidP="00282F4D">
      <w:pPr>
        <w:pStyle w:val="ITETexto1"/>
        <w:rPr>
          <w:color w:val="auto"/>
        </w:rPr>
      </w:pPr>
      <w:r w:rsidRPr="00282F4D">
        <w:rPr>
          <w:color w:val="auto"/>
        </w:rPr>
        <w:t>En 2017 se adjudicó el contrato para la redacción de Memorias de Actividad, a fin de legalizar la situación de la red de centros a lo largo de los próximos años. En 2018 se tramitarán alrededor de 50 legalizaciones.</w:t>
      </w:r>
    </w:p>
    <w:p w:rsidR="00282F4D" w:rsidRPr="00282F4D" w:rsidRDefault="00282F4D" w:rsidP="00282F4D">
      <w:pPr>
        <w:pStyle w:val="ITETexto1"/>
        <w:rPr>
          <w:color w:val="auto"/>
        </w:rPr>
      </w:pPr>
      <w:r w:rsidRPr="00282F4D">
        <w:rPr>
          <w:color w:val="auto"/>
        </w:rPr>
        <w:t>Paralelamente, se inició un proceso de regularización urbanística, cuya actuación en 2018 se va a centrar en la presentación de la documentación correspondiente en aquellos municipios en los que la tramitación de su planeamiento esté en estado de admisión de alegaciones o sugerencias.</w:t>
      </w:r>
    </w:p>
    <w:p w:rsidR="00DF5C19" w:rsidRPr="00282F4D" w:rsidRDefault="00DF5C19" w:rsidP="007E38C4">
      <w:pPr>
        <w:pStyle w:val="ITETexto1"/>
        <w:rPr>
          <w:color w:val="auto"/>
        </w:rPr>
      </w:pPr>
      <w:r>
        <w:t>2018</w:t>
      </w:r>
      <w:r w:rsidR="009C1058">
        <w:t xml:space="preserve"> dará continuidad </w:t>
      </w:r>
      <w:r>
        <w:t>a la gestión</w:t>
      </w:r>
      <w:r w:rsidR="009C1058">
        <w:t xml:space="preserve"> de riesgos, siguiendo la dinámica ya implantada y desarrollada en ejercicios anteriores</w:t>
      </w:r>
      <w:r w:rsidRPr="00282F4D">
        <w:rPr>
          <w:color w:val="auto"/>
        </w:rPr>
        <w:t>.</w:t>
      </w:r>
      <w:r w:rsidR="00093228" w:rsidRPr="00282F4D">
        <w:rPr>
          <w:color w:val="auto"/>
        </w:rPr>
        <w:t xml:space="preserve"> De manera específica cabe destacar el </w:t>
      </w:r>
      <w:r w:rsidR="00282F4D">
        <w:rPr>
          <w:color w:val="auto"/>
        </w:rPr>
        <w:t>inicio</w:t>
      </w:r>
      <w:r w:rsidR="00093228" w:rsidRPr="00282F4D">
        <w:rPr>
          <w:color w:val="auto"/>
        </w:rPr>
        <w:t xml:space="preserve"> a partir de este año, de la elaboración de planes de contingencia de los centros que nos permitan anticipar posibles </w:t>
      </w:r>
      <w:r w:rsidR="00282F4D">
        <w:rPr>
          <w:color w:val="auto"/>
        </w:rPr>
        <w:t>riesgos/</w:t>
      </w:r>
      <w:r w:rsidR="00093228" w:rsidRPr="00282F4D">
        <w:rPr>
          <w:color w:val="auto"/>
        </w:rPr>
        <w:t>daños catastróficos y garantizar, en la medida de lo posible, el correcto mantenimiento de nuestro cumplimiento del servicio.</w:t>
      </w:r>
    </w:p>
    <w:p w:rsidR="00DF5C19" w:rsidRDefault="00DF5C19" w:rsidP="007E38C4">
      <w:pPr>
        <w:pStyle w:val="ITETexto1"/>
      </w:pPr>
      <w:r w:rsidRPr="00261604">
        <w:t xml:space="preserve">A fin de afianzar </w:t>
      </w:r>
      <w:r w:rsidR="00657A68" w:rsidRPr="00261604">
        <w:t xml:space="preserve">aún </w:t>
      </w:r>
      <w:r w:rsidRPr="00261604">
        <w:t>más nuestro compromiso social, es objetivo de la sociedad adherirnos al pacto</w:t>
      </w:r>
      <w:r>
        <w:t xml:space="preserve"> Mundial de Naciones Unidas</w:t>
      </w:r>
      <w:r w:rsidR="000631F7">
        <w:t>, lo que ha de comportar un desarrollo mayor en la aplicación de criterios de carácter social, especialmente en materia de contratación. También, en el marco del afianzamiento de prácticas de gobierno corporativo, se va a proceder al desarrollo de las mismas, en línea con las directrices emanadas del Consejo de Gobierno en 2009.</w:t>
      </w:r>
    </w:p>
    <w:p w:rsidR="00EF1A35" w:rsidRDefault="00DF5C19" w:rsidP="007E38C4">
      <w:pPr>
        <w:pStyle w:val="ITETexto1"/>
      </w:pPr>
      <w:r>
        <w:t>Asimismo, en al ámbito de é</w:t>
      </w:r>
      <w:r w:rsidR="005815D1">
        <w:t>sta área se realiza el seguimiento de los proyectos de innovación identificados.</w:t>
      </w:r>
    </w:p>
    <w:p w:rsidR="005815D1" w:rsidRDefault="005815D1" w:rsidP="007E38C4">
      <w:pPr>
        <w:pStyle w:val="ITETexto1"/>
      </w:pPr>
      <w:r>
        <w:t>En cuanto a la transparencia, se ha de mantener el contenido del portal de transparencia actualmente implantado, a la espera de la aprobación de la ley autonómica, que puede venir a alterar los contenidos actualmente sometidos a publicidad activa.</w:t>
      </w:r>
    </w:p>
    <w:p w:rsidR="009B502D" w:rsidRDefault="00A210AF" w:rsidP="007E38C4">
      <w:pPr>
        <w:pStyle w:val="ITETexto1"/>
      </w:pPr>
      <w:r w:rsidRPr="00261604">
        <w:t>Cabe incluir en este apartado el compromiso estratégico adquirido de obtener la certificación Bikain</w:t>
      </w:r>
      <w:r w:rsidR="00657A68" w:rsidRPr="00261604">
        <w:t xml:space="preserve"> </w:t>
      </w:r>
      <w:r w:rsidRPr="00261604">
        <w:t xml:space="preserve">Zilarra, lo cual impone la realización de actuaciones </w:t>
      </w:r>
      <w:r w:rsidR="00DF5C19" w:rsidRPr="00261604">
        <w:t>diversas en 2018</w:t>
      </w:r>
      <w:r w:rsidRPr="00261604">
        <w:t xml:space="preserve"> en orden a avanzar hacia dicho</w:t>
      </w:r>
      <w:r w:rsidRPr="00A210AF">
        <w:t xml:space="preserve"> objetivo</w:t>
      </w:r>
      <w:r w:rsidR="00007560">
        <w:t>, que debe alcanzarse en 2019</w:t>
      </w:r>
      <w:r w:rsidRPr="00A210AF">
        <w:t>.</w:t>
      </w:r>
    </w:p>
    <w:p w:rsidR="00282F4D" w:rsidRDefault="00282F4D">
      <w:pPr>
        <w:rPr>
          <w:rFonts w:cs="Times New Roman"/>
        </w:rPr>
      </w:pPr>
      <w:r>
        <w:br w:type="page"/>
      </w:r>
    </w:p>
    <w:p w:rsidR="00A210AF" w:rsidRDefault="00A210AF" w:rsidP="007E38C4">
      <w:pPr>
        <w:pStyle w:val="ITETexto1"/>
      </w:pPr>
    </w:p>
    <w:tbl>
      <w:tblPr>
        <w:tblStyle w:val="Tablaconcuadrcula"/>
        <w:tblW w:w="0" w:type="auto"/>
        <w:tblLook w:val="04A0" w:firstRow="1" w:lastRow="0" w:firstColumn="1" w:lastColumn="0" w:noHBand="0" w:noVBand="1"/>
      </w:tblPr>
      <w:tblGrid>
        <w:gridCol w:w="9210"/>
      </w:tblGrid>
      <w:tr w:rsidR="005815D1" w:rsidTr="005815D1">
        <w:tc>
          <w:tcPr>
            <w:tcW w:w="9210" w:type="dxa"/>
          </w:tcPr>
          <w:p w:rsidR="005815D1" w:rsidRDefault="00DF5C19" w:rsidP="007E38C4">
            <w:pPr>
              <w:pStyle w:val="ITETexto1"/>
            </w:pPr>
            <w:r>
              <w:t>Principales objetivos para 2018</w:t>
            </w:r>
            <w:r w:rsidR="005815D1">
              <w:t>:</w:t>
            </w:r>
          </w:p>
          <w:p w:rsidR="005815D1" w:rsidRDefault="00DF5C19" w:rsidP="005815D1">
            <w:pPr>
              <w:pStyle w:val="ITETexto1"/>
              <w:numPr>
                <w:ilvl w:val="0"/>
                <w:numId w:val="39"/>
              </w:numPr>
            </w:pPr>
            <w:r>
              <w:t>Revisión y seguimiento</w:t>
            </w:r>
            <w:r w:rsidR="005815D1">
              <w:t xml:space="preserve"> del Plan Estratégico 2017-2020</w:t>
            </w:r>
          </w:p>
          <w:p w:rsidR="00DF5C19" w:rsidRDefault="00DF5C19" w:rsidP="005815D1">
            <w:pPr>
              <w:pStyle w:val="ITETexto1"/>
              <w:numPr>
                <w:ilvl w:val="0"/>
                <w:numId w:val="39"/>
              </w:numPr>
            </w:pPr>
            <w:r>
              <w:t>Revisión sistema de calidad (inclusión diseño de servicios)</w:t>
            </w:r>
          </w:p>
          <w:p w:rsidR="00DF5C19" w:rsidRDefault="00DF5C19" w:rsidP="005815D1">
            <w:pPr>
              <w:pStyle w:val="ITETexto1"/>
              <w:numPr>
                <w:ilvl w:val="0"/>
                <w:numId w:val="39"/>
              </w:numPr>
            </w:pPr>
            <w:r>
              <w:t>Desarrollo de Gobierno Corporativo</w:t>
            </w:r>
          </w:p>
          <w:p w:rsidR="00DF5C19" w:rsidRDefault="00DF5C19" w:rsidP="005815D1">
            <w:pPr>
              <w:pStyle w:val="ITETexto1"/>
              <w:numPr>
                <w:ilvl w:val="0"/>
                <w:numId w:val="39"/>
              </w:numPr>
            </w:pPr>
            <w:r>
              <w:t>Adhesión al Pacto Mundial</w:t>
            </w:r>
          </w:p>
          <w:p w:rsidR="005815D1" w:rsidRDefault="009B502D" w:rsidP="005815D1">
            <w:pPr>
              <w:pStyle w:val="ITETexto1"/>
              <w:numPr>
                <w:ilvl w:val="0"/>
                <w:numId w:val="39"/>
              </w:numPr>
            </w:pPr>
            <w:r>
              <w:t>Renovación certificación ISO 9001:2015</w:t>
            </w:r>
          </w:p>
          <w:p w:rsidR="00657A68" w:rsidRDefault="00DF5C19" w:rsidP="00261604">
            <w:pPr>
              <w:pStyle w:val="ITETexto1"/>
              <w:numPr>
                <w:ilvl w:val="0"/>
                <w:numId w:val="39"/>
              </w:numPr>
            </w:pPr>
            <w:r>
              <w:t>Renovación c</w:t>
            </w:r>
            <w:r w:rsidR="009B502D">
              <w:t xml:space="preserve">ertificación del Sistema de </w:t>
            </w:r>
            <w:r>
              <w:t xml:space="preserve">Gestión de Riesgos </w:t>
            </w:r>
            <w:r w:rsidR="009B502D">
              <w:t>Penal</w:t>
            </w:r>
            <w:r>
              <w:t>es</w:t>
            </w:r>
            <w:r w:rsidR="009B502D">
              <w:t xml:space="preserve"> (UNE 19601</w:t>
            </w:r>
            <w:r w:rsidR="004D0E14">
              <w:t>:2017</w:t>
            </w:r>
            <w:r w:rsidR="009B502D">
              <w:t>)</w:t>
            </w:r>
          </w:p>
          <w:p w:rsidR="00282F4D" w:rsidRDefault="00282F4D" w:rsidP="00261604">
            <w:pPr>
              <w:pStyle w:val="ITETexto1"/>
              <w:numPr>
                <w:ilvl w:val="0"/>
                <w:numId w:val="39"/>
              </w:numPr>
            </w:pPr>
            <w:r w:rsidRPr="00282F4D">
              <w:rPr>
                <w:color w:val="auto"/>
              </w:rPr>
              <w:t>Legalización de actividad de centros</w:t>
            </w:r>
          </w:p>
        </w:tc>
      </w:tr>
    </w:tbl>
    <w:p w:rsidR="005815D1" w:rsidRDefault="005815D1" w:rsidP="007E38C4">
      <w:pPr>
        <w:pStyle w:val="ITETexto1"/>
      </w:pPr>
    </w:p>
    <w:p w:rsidR="004B2374" w:rsidRPr="004B2374" w:rsidRDefault="004B2374" w:rsidP="004B2374">
      <w:pPr>
        <w:keepNext/>
        <w:keepLines/>
        <w:pageBreakBefore/>
        <w:numPr>
          <w:ilvl w:val="0"/>
          <w:numId w:val="3"/>
        </w:numPr>
        <w:pBdr>
          <w:top w:val="single" w:sz="18" w:space="2" w:color="595959"/>
        </w:pBdr>
        <w:spacing w:before="240" w:after="240"/>
        <w:jc w:val="both"/>
        <w:outlineLvl w:val="0"/>
        <w:rPr>
          <w:rFonts w:cs="Times New Roman"/>
          <w:b/>
          <w:caps/>
          <w:sz w:val="22"/>
          <w:szCs w:val="28"/>
        </w:rPr>
      </w:pPr>
      <w:bookmarkStart w:id="4" w:name="_Toc444083064"/>
      <w:bookmarkStart w:id="5" w:name="_Toc505766333"/>
      <w:r w:rsidRPr="004B2374">
        <w:rPr>
          <w:rFonts w:cs="Times New Roman"/>
          <w:b/>
          <w:caps/>
          <w:sz w:val="22"/>
          <w:szCs w:val="28"/>
        </w:rPr>
        <w:lastRenderedPageBreak/>
        <w:t>COMPROMISO CON LAS PERSONAS</w:t>
      </w:r>
      <w:bookmarkEnd w:id="4"/>
      <w:bookmarkEnd w:id="5"/>
    </w:p>
    <w:p w:rsidR="009B502D" w:rsidRDefault="00400AB9" w:rsidP="007E38C4">
      <w:pPr>
        <w:pStyle w:val="ITETexto1"/>
      </w:pPr>
      <w:r>
        <w:t>El elemento nuclear</w:t>
      </w:r>
      <w:r w:rsidR="00716123">
        <w:t xml:space="preserve"> en la organizació</w:t>
      </w:r>
      <w:r w:rsidR="00FB7DF6">
        <w:t>n y en la actividad de ITELAZPI son</w:t>
      </w:r>
      <w:r w:rsidR="00716123">
        <w:t xml:space="preserve"> las personas</w:t>
      </w:r>
      <w:r w:rsidR="00FB7DF6">
        <w:t xml:space="preserve"> y la organización presenta una especial atención a las mismas</w:t>
      </w:r>
      <w:r w:rsidR="00716123">
        <w:t>. Cuatro son los aspectos que encierran dicha atención:</w:t>
      </w:r>
    </w:p>
    <w:p w:rsidR="00716123" w:rsidRDefault="00716123" w:rsidP="00716123">
      <w:pPr>
        <w:pStyle w:val="ITETexto1"/>
        <w:numPr>
          <w:ilvl w:val="0"/>
          <w:numId w:val="39"/>
        </w:numPr>
      </w:pPr>
      <w:r>
        <w:t>Política de formación: definición y ejecución del plan formativo anual, partiendo de los requerimientos derivados de las competencias</w:t>
      </w:r>
      <w:r w:rsidR="000631F7">
        <w:t xml:space="preserve"> definidas en cada caso</w:t>
      </w:r>
      <w:r>
        <w:t>.</w:t>
      </w:r>
    </w:p>
    <w:p w:rsidR="00716123" w:rsidRDefault="00716123" w:rsidP="00716123">
      <w:pPr>
        <w:pStyle w:val="ITETexto1"/>
        <w:numPr>
          <w:ilvl w:val="0"/>
          <w:numId w:val="39"/>
        </w:numPr>
      </w:pPr>
      <w:r>
        <w:t xml:space="preserve">Política de Seguridad y Salud Laboral: </w:t>
      </w:r>
      <w:r w:rsidR="00FB7DF6">
        <w:t>u</w:t>
      </w:r>
      <w:r w:rsidR="00125F88">
        <w:t>no de los principales retos de la organización, habida cuenta de la actividad desplegada y el entorno de la misma. En esta materia la empresa se viene dotando de un plan específic</w:t>
      </w:r>
      <w:r w:rsidR="000631F7">
        <w:t>o, que de cara al ejercicio 2018</w:t>
      </w:r>
      <w:r w:rsidR="00125F88">
        <w:t xml:space="preserve"> vuelve a centrar sus esfuerzos en las inspecciones y reevaluaciones de centros,</w:t>
      </w:r>
      <w:r w:rsidR="000631F7">
        <w:t xml:space="preserve"> hacer especial hincapié en la comunicación y formación hacia las contratas desplegadas en nuestra red de centros,</w:t>
      </w:r>
      <w:r w:rsidR="00125F88">
        <w:t xml:space="preserve"> así como en la </w:t>
      </w:r>
      <w:r w:rsidR="000631F7">
        <w:t>realización</w:t>
      </w:r>
      <w:r w:rsidR="00125F88">
        <w:t xml:space="preserve"> de controles de emisiones radioeléctricas.</w:t>
      </w:r>
      <w:r w:rsidR="00DB5477">
        <w:t xml:space="preserve"> </w:t>
      </w:r>
      <w:r w:rsidR="00125F88">
        <w:t>Dado que se trata de</w:t>
      </w:r>
      <w:r w:rsidR="000631F7">
        <w:t xml:space="preserve"> un sistema certificado, en 2018</w:t>
      </w:r>
      <w:r w:rsidR="00125F88">
        <w:t xml:space="preserve"> se someterá</w:t>
      </w:r>
      <w:r w:rsidR="00007560">
        <w:t xml:space="preserve"> a auditoría para su renovación y, paralelamente, se pondrá en marcha la migración hacia el nuevo marco certificador.</w:t>
      </w:r>
    </w:p>
    <w:p w:rsidR="00125F88" w:rsidRPr="00261604" w:rsidRDefault="00125F88" w:rsidP="00716123">
      <w:pPr>
        <w:pStyle w:val="ITETexto1"/>
        <w:numPr>
          <w:ilvl w:val="0"/>
          <w:numId w:val="39"/>
        </w:numPr>
      </w:pPr>
      <w:r w:rsidRPr="00261604">
        <w:t xml:space="preserve">Política de Igualdad: </w:t>
      </w:r>
      <w:r w:rsidR="00DB5477" w:rsidRPr="00261604">
        <w:t>también las políticas de igualdad se desarrollan a través de un plan específico, que descansa en</w:t>
      </w:r>
      <w:r w:rsidR="00657A68" w:rsidRPr="00261604">
        <w:t xml:space="preserve"> actuaciones de sensibilización y control de uso del lenguaje, entre otras.</w:t>
      </w:r>
      <w:r w:rsidR="00FB7DF6" w:rsidRPr="00261604">
        <w:t xml:space="preserve"> E</w:t>
      </w:r>
      <w:r w:rsidR="000631F7" w:rsidRPr="00261604">
        <w:t>n 2018</w:t>
      </w:r>
      <w:r w:rsidR="00DB5477" w:rsidRPr="00261604">
        <w:t xml:space="preserve"> se va a </w:t>
      </w:r>
      <w:r w:rsidR="000631F7" w:rsidRPr="00261604">
        <w:t xml:space="preserve">implementar </w:t>
      </w:r>
      <w:r w:rsidR="00DB5477" w:rsidRPr="00261604">
        <w:t>cláusulas tipo a incluir en los pliegos de contratación.</w:t>
      </w:r>
      <w:r w:rsidR="000631F7" w:rsidRPr="00261604">
        <w:t xml:space="preserve"> Asimismo, se abordará la elaboración de un nuevo Plan de Igualdad, t</w:t>
      </w:r>
      <w:r w:rsidR="00657A68" w:rsidRPr="00261604">
        <w:t>oda vez que concluye el vigente y se realizarán diferente</w:t>
      </w:r>
      <w:r w:rsidR="00261604" w:rsidRPr="00261604">
        <w:t>s</w:t>
      </w:r>
      <w:r w:rsidR="00657A68" w:rsidRPr="00261604">
        <w:t xml:space="preserve"> actuaciones para incentivar la formación de la mujer en el ámbito tecnológico y su reconocimiento profesional en este ámbito.</w:t>
      </w:r>
    </w:p>
    <w:p w:rsidR="00DB5477" w:rsidRDefault="00DB5477" w:rsidP="00716123">
      <w:pPr>
        <w:pStyle w:val="ITETexto1"/>
        <w:numPr>
          <w:ilvl w:val="0"/>
          <w:numId w:val="39"/>
        </w:numPr>
      </w:pPr>
      <w:r>
        <w:t>Políticas de participación y reconocimiento: incidir, como se viene haciendo de manera recurrente, en el establecimiento de foros internos de participación en el diseño e implementación de las principales líneas de actuación de la empresa en todos los ámbitos, así como el mantenimiento de los sistemas de reconocimiento.</w:t>
      </w:r>
    </w:p>
    <w:p w:rsidR="00DB5477" w:rsidRDefault="00DB5477" w:rsidP="00DB5477">
      <w:pPr>
        <w:pStyle w:val="ITETexto1"/>
      </w:pPr>
    </w:p>
    <w:tbl>
      <w:tblPr>
        <w:tblStyle w:val="Tablaconcuadrcula"/>
        <w:tblW w:w="0" w:type="auto"/>
        <w:tblLook w:val="04A0" w:firstRow="1" w:lastRow="0" w:firstColumn="1" w:lastColumn="0" w:noHBand="0" w:noVBand="1"/>
      </w:tblPr>
      <w:tblGrid>
        <w:gridCol w:w="9210"/>
      </w:tblGrid>
      <w:tr w:rsidR="00DB5477" w:rsidTr="00DB5477">
        <w:tc>
          <w:tcPr>
            <w:tcW w:w="9210" w:type="dxa"/>
          </w:tcPr>
          <w:p w:rsidR="00DB5477" w:rsidRDefault="000631F7" w:rsidP="00DB5477">
            <w:pPr>
              <w:pStyle w:val="ITETexto1"/>
            </w:pPr>
            <w:r>
              <w:t>Principales objetivos para 2018</w:t>
            </w:r>
            <w:r w:rsidR="00DB5477">
              <w:t>:</w:t>
            </w:r>
          </w:p>
          <w:p w:rsidR="00720FC7" w:rsidRDefault="000631F7" w:rsidP="00720FC7">
            <w:pPr>
              <w:pStyle w:val="ITETexto1"/>
              <w:numPr>
                <w:ilvl w:val="0"/>
                <w:numId w:val="39"/>
              </w:numPr>
            </w:pPr>
            <w:r>
              <w:t>Elaboración y seguimiento del plan</w:t>
            </w:r>
            <w:r w:rsidR="00720FC7">
              <w:t xml:space="preserve"> anual de formación</w:t>
            </w:r>
          </w:p>
          <w:p w:rsidR="00720FC7" w:rsidRDefault="00720FC7" w:rsidP="00720FC7">
            <w:pPr>
              <w:pStyle w:val="ITETexto1"/>
              <w:numPr>
                <w:ilvl w:val="0"/>
                <w:numId w:val="39"/>
              </w:numPr>
            </w:pPr>
            <w:r>
              <w:t>Desarrollo y ejecución del plan anual de SSL</w:t>
            </w:r>
          </w:p>
          <w:p w:rsidR="00720FC7" w:rsidRDefault="00720FC7" w:rsidP="00720FC7">
            <w:pPr>
              <w:pStyle w:val="ITETexto1"/>
              <w:numPr>
                <w:ilvl w:val="0"/>
                <w:numId w:val="39"/>
              </w:numPr>
            </w:pPr>
            <w:r>
              <w:t>Renovación de la certificación OHSAS 18001</w:t>
            </w:r>
          </w:p>
          <w:p w:rsidR="00720FC7" w:rsidRDefault="000631F7" w:rsidP="00720FC7">
            <w:pPr>
              <w:pStyle w:val="ITETexto1"/>
              <w:numPr>
                <w:ilvl w:val="0"/>
                <w:numId w:val="39"/>
              </w:numPr>
            </w:pPr>
            <w:r>
              <w:t>Implementación de cláusulas tipo de igualdad de género en los contratos.</w:t>
            </w:r>
          </w:p>
          <w:p w:rsidR="000631F7" w:rsidRDefault="000631F7" w:rsidP="00720FC7">
            <w:pPr>
              <w:pStyle w:val="ITETexto1"/>
              <w:numPr>
                <w:ilvl w:val="0"/>
                <w:numId w:val="39"/>
              </w:numPr>
            </w:pPr>
            <w:r>
              <w:t>Elaboración del nuevo Plan de Igualdad</w:t>
            </w:r>
          </w:p>
          <w:p w:rsidR="00657A68" w:rsidRDefault="00657A68" w:rsidP="00720FC7">
            <w:pPr>
              <w:pStyle w:val="ITETexto1"/>
              <w:numPr>
                <w:ilvl w:val="0"/>
                <w:numId w:val="39"/>
              </w:numPr>
            </w:pPr>
            <w:r w:rsidRPr="00261604">
              <w:t xml:space="preserve">Incentivación de la formación de la mujer en el ámbito tecnológico y su reconocimiento </w:t>
            </w:r>
            <w:bookmarkStart w:id="6" w:name="_GoBack"/>
            <w:bookmarkEnd w:id="6"/>
            <w:r w:rsidRPr="00261604">
              <w:t>profesional en este ámbito.</w:t>
            </w:r>
          </w:p>
        </w:tc>
      </w:tr>
    </w:tbl>
    <w:p w:rsidR="00720FC7" w:rsidRPr="00720FC7" w:rsidRDefault="00720FC7" w:rsidP="00720FC7">
      <w:pPr>
        <w:keepNext/>
        <w:keepLines/>
        <w:pageBreakBefore/>
        <w:numPr>
          <w:ilvl w:val="0"/>
          <w:numId w:val="3"/>
        </w:numPr>
        <w:pBdr>
          <w:top w:val="single" w:sz="18" w:space="2" w:color="595959"/>
        </w:pBdr>
        <w:spacing w:before="240" w:after="240"/>
        <w:jc w:val="both"/>
        <w:outlineLvl w:val="0"/>
        <w:rPr>
          <w:rFonts w:cs="Times New Roman"/>
          <w:b/>
          <w:caps/>
          <w:sz w:val="22"/>
          <w:szCs w:val="28"/>
        </w:rPr>
      </w:pPr>
      <w:bookmarkStart w:id="7" w:name="_Toc444083065"/>
      <w:bookmarkStart w:id="8" w:name="_Toc505766334"/>
      <w:r w:rsidRPr="00720FC7">
        <w:rPr>
          <w:rFonts w:cs="Times New Roman"/>
          <w:b/>
          <w:caps/>
          <w:sz w:val="22"/>
          <w:szCs w:val="28"/>
        </w:rPr>
        <w:lastRenderedPageBreak/>
        <w:t>COMPROMISO CON EL MEDIOAMBIENTE</w:t>
      </w:r>
      <w:bookmarkEnd w:id="7"/>
      <w:bookmarkEnd w:id="8"/>
    </w:p>
    <w:p w:rsidR="00DB5477" w:rsidRDefault="00F838C6" w:rsidP="00DB5477">
      <w:pPr>
        <w:pStyle w:val="ITETexto1"/>
      </w:pPr>
      <w:r>
        <w:t xml:space="preserve">Las actuaciones ambientales se enmarcan en la sistemática habitual inspirada en el principio de retorno proporcional al medio de las detracciones </w:t>
      </w:r>
      <w:r w:rsidR="00007560">
        <w:t>provocadas</w:t>
      </w:r>
      <w:r>
        <w:t xml:space="preserve"> por nuestra </w:t>
      </w:r>
      <w:r w:rsidR="00007560">
        <w:t>actividad</w:t>
      </w:r>
      <w:r>
        <w:t>.</w:t>
      </w:r>
    </w:p>
    <w:p w:rsidR="00F838C6" w:rsidRDefault="00F838C6" w:rsidP="00DB5477">
      <w:pPr>
        <w:pStyle w:val="ITETexto1"/>
      </w:pPr>
      <w:r>
        <w:t>Así, se llevarán a cabo las acciones de sensibilización y replantación qu</w:t>
      </w:r>
      <w:r w:rsidR="000631F7">
        <w:t>e concurren en los eventos de “Z</w:t>
      </w:r>
      <w:r>
        <w:t>uhaitz</w:t>
      </w:r>
      <w:r w:rsidR="00C713B1">
        <w:t xml:space="preserve"> </w:t>
      </w:r>
      <w:r w:rsidR="000631F7">
        <w:t>E</w:t>
      </w:r>
      <w:r>
        <w:t>guna”, que se desarrolla</w:t>
      </w:r>
      <w:r w:rsidR="00C713B1">
        <w:t xml:space="preserve">n con diferentes </w:t>
      </w:r>
      <w:r>
        <w:t>centros escolares.</w:t>
      </w:r>
    </w:p>
    <w:p w:rsidR="00F838C6" w:rsidRDefault="00F838C6" w:rsidP="00DB5477">
      <w:pPr>
        <w:pStyle w:val="ITETexto1"/>
      </w:pPr>
      <w:r w:rsidRPr="00261604">
        <w:t xml:space="preserve">De otra parte, se mantendrá la ambientalización de los pliegos de contratación, en el marco de la iniciativa STOP CO2 de la que ITELAZPI forma parte desde su </w:t>
      </w:r>
      <w:r w:rsidR="00F359D6" w:rsidRPr="00261604">
        <w:t>constitución y en el ejercicio 2018 se formalizará su adhesión al Programa de Compra y Contratación Pública Verde del País Vasco 2020, impulsado por el Gobierno Vasco.</w:t>
      </w:r>
      <w:r w:rsidR="00F359D6">
        <w:t xml:space="preserve"> </w:t>
      </w:r>
    </w:p>
    <w:p w:rsidR="00571FBC" w:rsidRDefault="00571FBC" w:rsidP="00DB5477">
      <w:pPr>
        <w:pStyle w:val="ITETexto1"/>
      </w:pPr>
      <w:r>
        <w:t>El sistema de acción medioambiental de ITELAZPI está sometido a la certificación del Reglamento EMAS, cuyo mantenimiento obliga a someter el mismo a la correspondiente auditoría anual.</w:t>
      </w:r>
    </w:p>
    <w:p w:rsidR="00EC2022" w:rsidRDefault="00EC2022" w:rsidP="00DB5477">
      <w:pPr>
        <w:pStyle w:val="ITETexto1"/>
      </w:pPr>
      <w:r>
        <w:t xml:space="preserve">Finalmente y en el marco del vigente Plan Estratégico, </w:t>
      </w:r>
      <w:r w:rsidR="00023612">
        <w:t>se trata de definir marcos de actuación conjuntos colaborativos con otras administraciones públicas a fin de desplegar acciones de defensa y desarrollo del medio natural.</w:t>
      </w:r>
    </w:p>
    <w:p w:rsidR="00DB5477" w:rsidRDefault="00DB5477" w:rsidP="00DB5477">
      <w:pPr>
        <w:pStyle w:val="ITETexto1"/>
      </w:pPr>
    </w:p>
    <w:tbl>
      <w:tblPr>
        <w:tblStyle w:val="Tablaconcuadrcula"/>
        <w:tblW w:w="0" w:type="auto"/>
        <w:tblLook w:val="04A0" w:firstRow="1" w:lastRow="0" w:firstColumn="1" w:lastColumn="0" w:noHBand="0" w:noVBand="1"/>
      </w:tblPr>
      <w:tblGrid>
        <w:gridCol w:w="9210"/>
      </w:tblGrid>
      <w:tr w:rsidR="00571FBC" w:rsidTr="00571FBC">
        <w:tc>
          <w:tcPr>
            <w:tcW w:w="9210" w:type="dxa"/>
          </w:tcPr>
          <w:p w:rsidR="00571FBC" w:rsidRDefault="00571FBC" w:rsidP="00DB5477">
            <w:pPr>
              <w:pStyle w:val="ITETexto1"/>
            </w:pPr>
            <w:r>
              <w:t>Principales objetivos 201</w:t>
            </w:r>
            <w:r w:rsidR="00282F4D">
              <w:t>8</w:t>
            </w:r>
            <w:r>
              <w:t>:</w:t>
            </w:r>
          </w:p>
          <w:p w:rsidR="00571FBC" w:rsidRDefault="00571FBC" w:rsidP="00571FBC">
            <w:pPr>
              <w:pStyle w:val="ITETexto1"/>
              <w:numPr>
                <w:ilvl w:val="0"/>
                <w:numId w:val="39"/>
              </w:numPr>
            </w:pPr>
            <w:r>
              <w:t>Renovación certificación EMAS</w:t>
            </w:r>
          </w:p>
          <w:p w:rsidR="00571FBC" w:rsidRDefault="00EC2022" w:rsidP="00571FBC">
            <w:pPr>
              <w:pStyle w:val="ITETexto1"/>
              <w:numPr>
                <w:ilvl w:val="0"/>
                <w:numId w:val="39"/>
              </w:numPr>
            </w:pPr>
            <w:r>
              <w:t>Realización de los eventos “Z</w:t>
            </w:r>
            <w:r w:rsidR="00571FBC">
              <w:t>uhaitz</w:t>
            </w:r>
            <w:r w:rsidR="00C713B1">
              <w:t xml:space="preserve"> </w:t>
            </w:r>
            <w:r>
              <w:t>E</w:t>
            </w:r>
            <w:r w:rsidR="00571FBC">
              <w:t>guna”</w:t>
            </w:r>
          </w:p>
          <w:p w:rsidR="00F359D6" w:rsidRPr="001E1F7B" w:rsidRDefault="00F359D6" w:rsidP="00282F4D">
            <w:pPr>
              <w:pStyle w:val="ITETexto1"/>
              <w:numPr>
                <w:ilvl w:val="0"/>
                <w:numId w:val="39"/>
              </w:numPr>
            </w:pPr>
            <w:r w:rsidRPr="00261604">
              <w:t>Adhesión al Programa de Compra y Contratación Pública Verde del País Vasco 2020</w:t>
            </w:r>
          </w:p>
        </w:tc>
      </w:tr>
    </w:tbl>
    <w:p w:rsidR="00DB5477" w:rsidRDefault="00DB5477" w:rsidP="00DB5477">
      <w:pPr>
        <w:pStyle w:val="ITETexto1"/>
      </w:pPr>
    </w:p>
    <w:p w:rsidR="00571FBC" w:rsidRDefault="00571FBC" w:rsidP="00DB5477">
      <w:pPr>
        <w:pStyle w:val="ITETexto1"/>
      </w:pPr>
    </w:p>
    <w:p w:rsidR="00571FBC" w:rsidRDefault="00571FBC" w:rsidP="00DB5477">
      <w:pPr>
        <w:pStyle w:val="ITETexto1"/>
      </w:pPr>
    </w:p>
    <w:p w:rsidR="00571FBC" w:rsidRDefault="00571FBC" w:rsidP="00DB5477">
      <w:pPr>
        <w:pStyle w:val="ITETexto1"/>
      </w:pPr>
    </w:p>
    <w:p w:rsidR="00571FBC" w:rsidRPr="00571FBC" w:rsidRDefault="00571FBC" w:rsidP="00571FBC">
      <w:pPr>
        <w:keepNext/>
        <w:keepLines/>
        <w:pageBreakBefore/>
        <w:numPr>
          <w:ilvl w:val="0"/>
          <w:numId w:val="37"/>
        </w:numPr>
        <w:pBdr>
          <w:top w:val="single" w:sz="18" w:space="2" w:color="595959"/>
        </w:pBdr>
        <w:spacing w:before="240" w:after="240"/>
        <w:jc w:val="both"/>
        <w:outlineLvl w:val="0"/>
        <w:rPr>
          <w:rFonts w:cs="Times New Roman"/>
          <w:b/>
          <w:caps/>
          <w:sz w:val="22"/>
          <w:szCs w:val="28"/>
        </w:rPr>
      </w:pPr>
      <w:bookmarkStart w:id="9" w:name="_Toc351635624"/>
      <w:bookmarkStart w:id="10" w:name="_Toc444083066"/>
      <w:bookmarkStart w:id="11" w:name="_Toc505766335"/>
      <w:r w:rsidRPr="00571FBC">
        <w:rPr>
          <w:rFonts w:cs="Times New Roman"/>
          <w:b/>
          <w:caps/>
          <w:sz w:val="22"/>
          <w:szCs w:val="28"/>
        </w:rPr>
        <w:lastRenderedPageBreak/>
        <w:t>SERVICIOS BROADCAST</w:t>
      </w:r>
      <w:bookmarkEnd w:id="9"/>
      <w:bookmarkEnd w:id="10"/>
      <w:bookmarkEnd w:id="11"/>
    </w:p>
    <w:p w:rsidR="007D7CC1" w:rsidRDefault="00A83626" w:rsidP="00DB5477">
      <w:pPr>
        <w:pStyle w:val="ITETexto1"/>
      </w:pPr>
      <w:r>
        <w:t xml:space="preserve">Diferentes ámbitos de </w:t>
      </w:r>
      <w:r w:rsidR="00023612">
        <w:t>actuación conforman el plan 2018</w:t>
      </w:r>
      <w:r>
        <w:t xml:space="preserve"> en materia </w:t>
      </w:r>
      <w:r w:rsidR="00023612">
        <w:t xml:space="preserve">de </w:t>
      </w:r>
      <w:r>
        <w:t xml:space="preserve">Broadcast. Un primer paquete de acciones se refieren a la renovación de los sistemas de difusión de la radio pública, en concreto, la puesta en marcha de los sistemas correspondientes a los </w:t>
      </w:r>
      <w:r w:rsidR="00023612">
        <w:t xml:space="preserve">centros de la zona </w:t>
      </w:r>
      <w:r w:rsidR="00007560">
        <w:t>central</w:t>
      </w:r>
      <w:r w:rsidR="00023612">
        <w:t xml:space="preserve"> del Territorio de Gipuzkoa</w:t>
      </w:r>
      <w:r>
        <w:t xml:space="preserve">. De otra parte, se va a </w:t>
      </w:r>
      <w:r w:rsidR="00023612">
        <w:t>continuar</w:t>
      </w:r>
      <w:r>
        <w:t xml:space="preserve"> el desarrollo de un proyecto innovador</w:t>
      </w:r>
      <w:r w:rsidR="00F359D6">
        <w:t xml:space="preserve"> para</w:t>
      </w:r>
      <w:r>
        <w:t xml:space="preserve"> la posible implantación de un</w:t>
      </w:r>
      <w:r w:rsidR="007D7CC1">
        <w:t>a</w:t>
      </w:r>
      <w:r>
        <w:t xml:space="preserve"> red isofrecuencia de FM, que vendría a solucionar algunos problemas de cobertura en zonas de difícil acceso y sin disponibilidad de frecuencias.</w:t>
      </w:r>
      <w:r w:rsidR="007D7CC1">
        <w:t xml:space="preserve"> Estas actuaciones se enmarcan en el proyecto pluarianual de modernización de los sistemas de difusión de la radio pública vasca.</w:t>
      </w:r>
    </w:p>
    <w:p w:rsidR="007D7CC1" w:rsidRDefault="00F359D6" w:rsidP="00DB5477">
      <w:pPr>
        <w:pStyle w:val="ITETexto1"/>
      </w:pPr>
      <w:r>
        <w:t xml:space="preserve">En materia de </w:t>
      </w:r>
      <w:r w:rsidRPr="00261604">
        <w:t>televisión,</w:t>
      </w:r>
      <w:r w:rsidR="007D7CC1">
        <w:t xml:space="preserve"> las acciones a llevar a cabo se </w:t>
      </w:r>
      <w:r w:rsidR="001E1F7B" w:rsidRPr="001E1F7B">
        <w:rPr>
          <w:color w:val="auto"/>
        </w:rPr>
        <w:t>refieren</w:t>
      </w:r>
      <w:r w:rsidR="007D7CC1">
        <w:t xml:space="preserve">, en lo fundamental, a tareas de planificación de actuaciones futuras relacionadas con la ejecución del segundo dividendo digital y el paralelo despliegue de los múltiples MPE4 y MPE5. Todo ello </w:t>
      </w:r>
      <w:r w:rsidR="00023612">
        <w:t>a la espera de que</w:t>
      </w:r>
      <w:r w:rsidR="007D7CC1">
        <w:t xml:space="preserve"> el Ministerio de Energía, Turismo y Agenda Digital acometa </w:t>
      </w:r>
      <w:r w:rsidR="00023612">
        <w:t>la planificación de los canales, cuyo despliegue efectivo se llevará a cabo, en principio, a lo largo de 2019 y el primer semestre de 2020</w:t>
      </w:r>
      <w:r w:rsidR="007D7CC1">
        <w:t>.</w:t>
      </w:r>
    </w:p>
    <w:p w:rsidR="007D7CC1" w:rsidRDefault="00EE4812" w:rsidP="00DB5477">
      <w:pPr>
        <w:pStyle w:val="ITETexto1"/>
      </w:pPr>
      <w:r>
        <w:t xml:space="preserve">Como actuaciones de carácter común </w:t>
      </w:r>
      <w:r w:rsidR="00007560">
        <w:t>destaca</w:t>
      </w:r>
      <w:r>
        <w:t xml:space="preserve"> la extensión de la monitorización a un paquete añadido de centros carentes de red de transporte, lo que permitirá de manera paulatina acceder de manera remota a la totalidad de equipos y sistemas de difusión broadcast, con el correlativo ahorro de costes de mantenimiento y la mejora de los niveles de servicio actuales.</w:t>
      </w:r>
    </w:p>
    <w:p w:rsidR="00EE4812" w:rsidRPr="00282F4D" w:rsidRDefault="00023612" w:rsidP="00DB5477">
      <w:pPr>
        <w:pStyle w:val="ITETexto1"/>
        <w:rPr>
          <w:color w:val="auto"/>
        </w:rPr>
      </w:pPr>
      <w:r w:rsidRPr="00282F4D">
        <w:rPr>
          <w:color w:val="auto"/>
        </w:rPr>
        <w:t>Asimismo, en 2018</w:t>
      </w:r>
      <w:r w:rsidR="00EE4812" w:rsidRPr="00282F4D">
        <w:rPr>
          <w:color w:val="auto"/>
        </w:rPr>
        <w:t xml:space="preserve"> </w:t>
      </w:r>
      <w:r w:rsidRPr="00282F4D">
        <w:rPr>
          <w:color w:val="auto"/>
        </w:rPr>
        <w:t>y con un alcance que transciende los servicios broadcast, si bien son estos los principales beneficiarios, se debe definir el alcance y poner en marcha</w:t>
      </w:r>
      <w:r w:rsidR="00AF7D53" w:rsidRPr="00282F4D">
        <w:rPr>
          <w:color w:val="auto"/>
        </w:rPr>
        <w:t xml:space="preserve"> la elaboración del nuevo Plan de Contingencias, tomando como referencia los trabajos</w:t>
      </w:r>
      <w:r w:rsidR="00007560" w:rsidRPr="00282F4D">
        <w:rPr>
          <w:color w:val="auto"/>
        </w:rPr>
        <w:t xml:space="preserve"> preliminares</w:t>
      </w:r>
      <w:r w:rsidR="00AF7D53" w:rsidRPr="00282F4D">
        <w:rPr>
          <w:color w:val="auto"/>
        </w:rPr>
        <w:t xml:space="preserve"> llevados a cabo el pasado año.</w:t>
      </w:r>
    </w:p>
    <w:p w:rsidR="00571FBC" w:rsidRDefault="00571FBC" w:rsidP="00DB5477">
      <w:pPr>
        <w:pStyle w:val="ITETexto1"/>
      </w:pPr>
    </w:p>
    <w:tbl>
      <w:tblPr>
        <w:tblStyle w:val="Tablaconcuadrcula"/>
        <w:tblW w:w="0" w:type="auto"/>
        <w:tblLook w:val="04A0" w:firstRow="1" w:lastRow="0" w:firstColumn="1" w:lastColumn="0" w:noHBand="0" w:noVBand="1"/>
      </w:tblPr>
      <w:tblGrid>
        <w:gridCol w:w="9210"/>
      </w:tblGrid>
      <w:tr w:rsidR="00FB0D92" w:rsidTr="00FB0D92">
        <w:tc>
          <w:tcPr>
            <w:tcW w:w="9210" w:type="dxa"/>
          </w:tcPr>
          <w:p w:rsidR="00FB0D92" w:rsidRDefault="00AF7D53" w:rsidP="00DB5477">
            <w:pPr>
              <w:pStyle w:val="ITETexto1"/>
            </w:pPr>
            <w:r>
              <w:t>Principales objetivos para 2018</w:t>
            </w:r>
            <w:r w:rsidR="00FB0D92">
              <w:t>:</w:t>
            </w:r>
          </w:p>
          <w:p w:rsidR="00FB0D92" w:rsidRDefault="00FB0D92" w:rsidP="00FB0D92">
            <w:pPr>
              <w:pStyle w:val="ITETexto1"/>
              <w:numPr>
                <w:ilvl w:val="0"/>
                <w:numId w:val="39"/>
              </w:numPr>
            </w:pPr>
            <w:r>
              <w:t>Puesta en marcha de los nuevos sistemas de difusión de la radio pública.</w:t>
            </w:r>
          </w:p>
          <w:p w:rsidR="00FB0D92" w:rsidRDefault="00FB0D92" w:rsidP="00FB0D92">
            <w:pPr>
              <w:pStyle w:val="ITETexto1"/>
              <w:numPr>
                <w:ilvl w:val="0"/>
                <w:numId w:val="39"/>
              </w:numPr>
            </w:pPr>
            <w:r>
              <w:t xml:space="preserve">Desarrollo </w:t>
            </w:r>
            <w:r w:rsidR="00AF7D53">
              <w:t xml:space="preserve">de la Fase II </w:t>
            </w:r>
            <w:r>
              <w:t>del proyecto de difusión isofrecuencia de FM.</w:t>
            </w:r>
          </w:p>
          <w:p w:rsidR="00FB0D92" w:rsidRDefault="00FB0D92" w:rsidP="00FB0D92">
            <w:pPr>
              <w:pStyle w:val="ITETexto1"/>
              <w:numPr>
                <w:ilvl w:val="0"/>
                <w:numId w:val="39"/>
              </w:numPr>
            </w:pPr>
            <w:r>
              <w:t>Planificación del 2º dividendo digital y extensión MPE4 y MPE5.</w:t>
            </w:r>
          </w:p>
          <w:p w:rsidR="00AF7D53" w:rsidRDefault="00AF7D53" w:rsidP="00FB0D92">
            <w:pPr>
              <w:pStyle w:val="ITETexto1"/>
              <w:numPr>
                <w:ilvl w:val="0"/>
                <w:numId w:val="39"/>
              </w:numPr>
            </w:pPr>
            <w:r>
              <w:t>Gestión remota de equipamiento de 20 centros.</w:t>
            </w:r>
          </w:p>
          <w:p w:rsidR="00FB0D92" w:rsidRDefault="00FB0D92" w:rsidP="00AF7D53">
            <w:pPr>
              <w:pStyle w:val="ITETexto1"/>
              <w:numPr>
                <w:ilvl w:val="0"/>
                <w:numId w:val="39"/>
              </w:numPr>
            </w:pPr>
            <w:r w:rsidRPr="00282F4D">
              <w:rPr>
                <w:color w:val="auto"/>
              </w:rPr>
              <w:t>Plan de Contingencias</w:t>
            </w:r>
            <w:r w:rsidR="00AF7D53" w:rsidRPr="00282F4D">
              <w:rPr>
                <w:color w:val="auto"/>
              </w:rPr>
              <w:t>.</w:t>
            </w:r>
          </w:p>
        </w:tc>
      </w:tr>
    </w:tbl>
    <w:p w:rsidR="00FB0D92" w:rsidRPr="00FB0D92" w:rsidRDefault="00FB0D92" w:rsidP="00FB0D92">
      <w:pPr>
        <w:keepNext/>
        <w:keepLines/>
        <w:pageBreakBefore/>
        <w:numPr>
          <w:ilvl w:val="0"/>
          <w:numId w:val="37"/>
        </w:numPr>
        <w:pBdr>
          <w:top w:val="single" w:sz="18" w:space="2" w:color="595959"/>
        </w:pBdr>
        <w:spacing w:before="240" w:after="240"/>
        <w:jc w:val="both"/>
        <w:outlineLvl w:val="0"/>
        <w:rPr>
          <w:rFonts w:cs="Times New Roman"/>
          <w:b/>
          <w:caps/>
          <w:sz w:val="22"/>
          <w:szCs w:val="28"/>
        </w:rPr>
      </w:pPr>
      <w:bookmarkStart w:id="12" w:name="_Toc351635625"/>
      <w:bookmarkStart w:id="13" w:name="_Toc444083067"/>
      <w:bookmarkStart w:id="14" w:name="_Toc505766336"/>
      <w:r w:rsidRPr="00FB0D92">
        <w:rPr>
          <w:rFonts w:cs="Times New Roman"/>
          <w:b/>
          <w:caps/>
          <w:sz w:val="22"/>
          <w:szCs w:val="28"/>
        </w:rPr>
        <w:lastRenderedPageBreak/>
        <w:t>SERVICIOS TETRA</w:t>
      </w:r>
      <w:bookmarkEnd w:id="12"/>
      <w:bookmarkEnd w:id="13"/>
      <w:r w:rsidR="00AB18C1">
        <w:rPr>
          <w:rFonts w:cs="Times New Roman"/>
          <w:b/>
          <w:caps/>
          <w:sz w:val="22"/>
          <w:szCs w:val="28"/>
        </w:rPr>
        <w:t xml:space="preserve"> Y OTROS SERVICIOS</w:t>
      </w:r>
      <w:bookmarkEnd w:id="14"/>
    </w:p>
    <w:p w:rsidR="00571FBC" w:rsidRDefault="0098545A" w:rsidP="00DB5477">
      <w:pPr>
        <w:pStyle w:val="ITETexto1"/>
      </w:pPr>
      <w:r>
        <w:t xml:space="preserve">En </w:t>
      </w:r>
      <w:r w:rsidR="00FB7DF6">
        <w:t>lo que</w:t>
      </w:r>
      <w:r>
        <w:t xml:space="preserve"> a la red y los servicios TETRA se refiere</w:t>
      </w:r>
      <w:r w:rsidR="00DD7892">
        <w:t xml:space="preserve">, las actuaciones del ejercicio se van a </w:t>
      </w:r>
      <w:r w:rsidR="00AF7D53">
        <w:t>centrar</w:t>
      </w:r>
      <w:r w:rsidR="00DD7892">
        <w:t xml:space="preserve"> </w:t>
      </w:r>
      <w:r w:rsidR="00AF7D53">
        <w:t>en</w:t>
      </w:r>
      <w:r w:rsidR="00DD7892">
        <w:t xml:space="preserve"> tareas de extensión y mejora de cobertura, especialmente en la red ferroviaria</w:t>
      </w:r>
      <w:r w:rsidR="00AF7D53">
        <w:t>, Topo y Metro Bilbao</w:t>
      </w:r>
      <w:r w:rsidR="00DD7892">
        <w:t xml:space="preserve">, y </w:t>
      </w:r>
      <w:r w:rsidR="00AF7D53">
        <w:t>en</w:t>
      </w:r>
      <w:r w:rsidR="00DD7892">
        <w:t xml:space="preserve"> la optimización de los niveles de servicio.</w:t>
      </w:r>
    </w:p>
    <w:p w:rsidR="00DD7892" w:rsidRDefault="00DD7892" w:rsidP="00DB5477">
      <w:pPr>
        <w:pStyle w:val="ITETexto1"/>
      </w:pPr>
      <w:r>
        <w:t xml:space="preserve">La extensión de la monitorización de los centros remotos a la que nos referíamos en el apartado anterior se viene llevando a cabo soportada en la red TETRA, por lo que su materialización descansa en esta área. La progresiva incorporación de centros a este proyecto se viene realizando a razón de una veintena cada año, que </w:t>
      </w:r>
      <w:r w:rsidR="00AF7D53">
        <w:t>es el objetivo trazado para 2018</w:t>
      </w:r>
      <w:r>
        <w:t>.</w:t>
      </w:r>
    </w:p>
    <w:p w:rsidR="0004430A" w:rsidRDefault="00AB18C1" w:rsidP="00DB5477">
      <w:pPr>
        <w:pStyle w:val="ITETexto1"/>
      </w:pPr>
      <w:r>
        <w:t>Al margen de los servicios TETRA</w:t>
      </w:r>
      <w:r w:rsidR="00261604">
        <w:t xml:space="preserve">, </w:t>
      </w:r>
      <w:r>
        <w:t xml:space="preserve">ITELAZPI </w:t>
      </w:r>
      <w:r w:rsidR="00F359D6" w:rsidRPr="00261604">
        <w:t>afronta</w:t>
      </w:r>
      <w:r w:rsidR="00F359D6">
        <w:t xml:space="preserve"> </w:t>
      </w:r>
      <w:r>
        <w:t xml:space="preserve">el reto de los servicios </w:t>
      </w:r>
      <w:r w:rsidR="0004430A">
        <w:t>IoT</w:t>
      </w:r>
      <w:r>
        <w:t>. En este apartado, se plantea la realización de algunos pilotos que ayuden a definir el papel de la sociedad en este nuevo “mercado”. Estos pilotos nos permitirán</w:t>
      </w:r>
      <w:r w:rsidR="0004430A">
        <w:t xml:space="preserve"> analizar los escenarios posibles en los que se precisa la intervención de los poderes públicos, en orden a evitar, una vez más, el afloramiento de desequilibrios territoriales. En este sentido, hay que abordar una tarea de análisis para entender y definir aquellos proyectos viables que sirvan para atender las necesidades de las diferentes administraciones en entornos que, a buen seguro, quedaran desatendidos por la iniciativa privada dada su escasa o nula perspectiva de rentabilidad económica.</w:t>
      </w:r>
    </w:p>
    <w:p w:rsidR="0004430A" w:rsidRDefault="0004430A" w:rsidP="00DB5477">
      <w:pPr>
        <w:pStyle w:val="ITETexto1"/>
      </w:pPr>
    </w:p>
    <w:p w:rsidR="00D97B45" w:rsidRDefault="00D97B45" w:rsidP="00DB5477">
      <w:pPr>
        <w:pStyle w:val="ITETexto1"/>
      </w:pPr>
    </w:p>
    <w:tbl>
      <w:tblPr>
        <w:tblStyle w:val="Tablaconcuadrcula"/>
        <w:tblW w:w="0" w:type="auto"/>
        <w:tblLook w:val="04A0" w:firstRow="1" w:lastRow="0" w:firstColumn="1" w:lastColumn="0" w:noHBand="0" w:noVBand="1"/>
      </w:tblPr>
      <w:tblGrid>
        <w:gridCol w:w="9210"/>
      </w:tblGrid>
      <w:tr w:rsidR="00D97B45" w:rsidTr="00D97B45">
        <w:tc>
          <w:tcPr>
            <w:tcW w:w="9210" w:type="dxa"/>
          </w:tcPr>
          <w:p w:rsidR="00D97B45" w:rsidRDefault="00AB18C1" w:rsidP="00DB5477">
            <w:pPr>
              <w:pStyle w:val="ITETexto1"/>
            </w:pPr>
            <w:r>
              <w:t>Principales objetivos para 2018</w:t>
            </w:r>
            <w:r w:rsidR="00D97B45">
              <w:t>:</w:t>
            </w:r>
          </w:p>
          <w:p w:rsidR="00D97B45" w:rsidRDefault="00D97B45" w:rsidP="00D97B45">
            <w:pPr>
              <w:pStyle w:val="ITETexto1"/>
              <w:numPr>
                <w:ilvl w:val="0"/>
                <w:numId w:val="39"/>
              </w:numPr>
            </w:pPr>
            <w:r>
              <w:t>Mejoras de cobertura asociadas a proyectos concretos de TETRA</w:t>
            </w:r>
          </w:p>
          <w:p w:rsidR="00D97B45" w:rsidRDefault="00D97B45" w:rsidP="00AB18C1">
            <w:pPr>
              <w:pStyle w:val="ITETexto1"/>
              <w:numPr>
                <w:ilvl w:val="0"/>
                <w:numId w:val="39"/>
              </w:numPr>
            </w:pPr>
            <w:r>
              <w:t>Análisis de proyectos a desarrollar sobre IoT</w:t>
            </w:r>
          </w:p>
        </w:tc>
      </w:tr>
    </w:tbl>
    <w:p w:rsidR="00D97B45" w:rsidRDefault="00D97B45" w:rsidP="00DB5477">
      <w:pPr>
        <w:pStyle w:val="ITETexto1"/>
      </w:pPr>
    </w:p>
    <w:p w:rsidR="00571FBC" w:rsidRDefault="00571FBC" w:rsidP="00DB5477">
      <w:pPr>
        <w:pStyle w:val="ITETexto1"/>
      </w:pPr>
    </w:p>
    <w:p w:rsidR="00800F02" w:rsidRDefault="00800F02" w:rsidP="00DB5477">
      <w:pPr>
        <w:pStyle w:val="ITETexto1"/>
      </w:pPr>
    </w:p>
    <w:p w:rsidR="00800F02" w:rsidRDefault="00800F02" w:rsidP="00DB5477">
      <w:pPr>
        <w:pStyle w:val="ITETexto1"/>
      </w:pPr>
    </w:p>
    <w:p w:rsidR="00800F02" w:rsidRDefault="00800F02" w:rsidP="00DB5477">
      <w:pPr>
        <w:pStyle w:val="ITETexto1"/>
      </w:pPr>
    </w:p>
    <w:p w:rsidR="00800F02" w:rsidRPr="00800F02" w:rsidRDefault="00800F02" w:rsidP="00800F02">
      <w:pPr>
        <w:keepNext/>
        <w:keepLines/>
        <w:pageBreakBefore/>
        <w:numPr>
          <w:ilvl w:val="0"/>
          <w:numId w:val="37"/>
        </w:numPr>
        <w:pBdr>
          <w:top w:val="single" w:sz="18" w:space="2" w:color="595959"/>
        </w:pBdr>
        <w:spacing w:before="240" w:after="240"/>
        <w:jc w:val="both"/>
        <w:outlineLvl w:val="0"/>
        <w:rPr>
          <w:rFonts w:cs="Times New Roman"/>
          <w:b/>
          <w:caps/>
          <w:sz w:val="22"/>
          <w:szCs w:val="28"/>
        </w:rPr>
      </w:pPr>
      <w:bookmarkStart w:id="15" w:name="_Toc351635627"/>
      <w:bookmarkStart w:id="16" w:name="_Toc444083068"/>
      <w:bookmarkStart w:id="17" w:name="_Toc505766337"/>
      <w:r w:rsidRPr="00800F02">
        <w:rPr>
          <w:rFonts w:cs="Times New Roman"/>
          <w:b/>
          <w:caps/>
          <w:sz w:val="22"/>
          <w:szCs w:val="28"/>
        </w:rPr>
        <w:lastRenderedPageBreak/>
        <w:t>GESTIÓN DE INFRAESTRUCTURAS FÍSICAS Y LÓGICAS</w:t>
      </w:r>
      <w:bookmarkEnd w:id="15"/>
      <w:bookmarkEnd w:id="16"/>
      <w:bookmarkEnd w:id="17"/>
    </w:p>
    <w:p w:rsidR="00800F02" w:rsidRDefault="00055D3A" w:rsidP="00DB5477">
      <w:pPr>
        <w:pStyle w:val="ITETexto1"/>
      </w:pPr>
      <w:r>
        <w:t>Los sistemas prestadores de los servicios finales se soportan en infraestructuras de carácter horizontal cuya relevancia es determinante para el aseguramiento de aquellos. De ahí su especial régimen de atención y el destino de importantes recursos económicos, técnicos y humanos.</w:t>
      </w:r>
    </w:p>
    <w:p w:rsidR="00055D3A" w:rsidRDefault="00055D3A" w:rsidP="00DB5477">
      <w:pPr>
        <w:pStyle w:val="ITETexto1"/>
      </w:pPr>
      <w:r>
        <w:t>El área de obras</w:t>
      </w:r>
      <w:r w:rsidR="00AB18C1">
        <w:t>,</w:t>
      </w:r>
      <w:r>
        <w:t xml:space="preserve"> más allá de la atención de las necesidades de reparación, mantenimiento y mejora de las infraestructuras que conforman la red de centros, </w:t>
      </w:r>
      <w:r w:rsidR="00AB18C1">
        <w:t xml:space="preserve">arranca en 2018 el desarrollo de las previsiones del Plan Estratégico en materia de renovación de torres de </w:t>
      </w:r>
      <w:r w:rsidR="00F359D6">
        <w:t xml:space="preserve">comunicaciones, con arreglo </w:t>
      </w:r>
      <w:r w:rsidR="00F359D6" w:rsidRPr="00261604">
        <w:t>al</w:t>
      </w:r>
      <w:r w:rsidR="00AB18C1" w:rsidRPr="00261604">
        <w:t xml:space="preserve"> plan interno</w:t>
      </w:r>
      <w:r w:rsidR="00AB18C1">
        <w:t xml:space="preserve"> previamente definido.</w:t>
      </w:r>
      <w:r w:rsidR="0093424D">
        <w:t xml:space="preserve"> También se trata de completar la adecuación de los centros de intemperie pendientes al nuevo centro tipo definido, continuando el proceso iniciado años atrás.</w:t>
      </w:r>
    </w:p>
    <w:p w:rsidR="00055D3A" w:rsidRDefault="00055D3A" w:rsidP="00DB5477">
      <w:pPr>
        <w:pStyle w:val="ITETexto1"/>
      </w:pPr>
      <w:r>
        <w:t xml:space="preserve">En materia de energía, destacará la planificada sustitución de elementos de aseguramiento del </w:t>
      </w:r>
      <w:r w:rsidRPr="00261604">
        <w:t>suministro (rectificadores, baterías, onduladores…)</w:t>
      </w:r>
      <w:r w:rsidR="006D52D9" w:rsidRPr="00261604">
        <w:t>, a</w:t>
      </w:r>
      <w:r w:rsidR="003E1C02" w:rsidRPr="00261604">
        <w:t>ctuaciones todas ellas que adquieren una</w:t>
      </w:r>
      <w:r w:rsidR="003E1C02">
        <w:t xml:space="preserve"> especial relevancia motivada por los singulares emplazamientos donde se ubican los centros que </w:t>
      </w:r>
      <w:r w:rsidR="003E1C02" w:rsidRPr="00261604">
        <w:t>conforman la red de comunicaciones que gestiona ITELAZPI.</w:t>
      </w:r>
      <w:r w:rsidR="006D52D9" w:rsidRPr="00261604">
        <w:t xml:space="preserve"> Asimismo, se seguirán impulsando proyectos innovadores de</w:t>
      </w:r>
      <w:r w:rsidR="006D52D9" w:rsidRPr="00261604">
        <w:rPr>
          <w:rFonts w:ascii="Arial" w:hAnsi="Arial" w:cs="Arial"/>
          <w:color w:val="545454"/>
        </w:rPr>
        <w:t xml:space="preserve"> </w:t>
      </w:r>
      <w:r w:rsidR="006D52D9" w:rsidRPr="00261604">
        <w:t>sistemas híbridos de alimentación ininterrumpida de energía como el ya implantado en Hirumugeta.</w:t>
      </w:r>
    </w:p>
    <w:p w:rsidR="003E1C02" w:rsidRDefault="0093424D" w:rsidP="00DB5477">
      <w:pPr>
        <w:pStyle w:val="ITETexto1"/>
      </w:pPr>
      <w:r>
        <w:t>En materia de transporte de señal,</w:t>
      </w:r>
      <w:r w:rsidR="003E1C02">
        <w:t xml:space="preserve"> </w:t>
      </w:r>
      <w:r>
        <w:t>y en ejecución del</w:t>
      </w:r>
      <w:r w:rsidR="003E1C02">
        <w:t xml:space="preserve"> Plan Estratégico, </w:t>
      </w:r>
      <w:r>
        <w:t>las actuaciones más relevantes se centran en la migración de los servicios a IP-MPLS, culminando la totalidad del proceso, y el arranque de la sustitución de radioenlaces a la nueva generación</w:t>
      </w:r>
      <w:r w:rsidR="0058603C">
        <w:t xml:space="preserve"> de equipos</w:t>
      </w:r>
      <w:r>
        <w:t xml:space="preserve"> adjudicada a comienzos del ejercicio. En 2018 esta actuación se centrará en la sustitución de la red troncal y una parte mínima de la capilar.</w:t>
      </w:r>
    </w:p>
    <w:p w:rsidR="00800F02" w:rsidRDefault="00800F02" w:rsidP="00DB5477">
      <w:pPr>
        <w:pStyle w:val="ITETexto1"/>
      </w:pPr>
    </w:p>
    <w:p w:rsidR="00F60F62" w:rsidRDefault="00F60F62" w:rsidP="00DB5477">
      <w:pPr>
        <w:pStyle w:val="ITETexto1"/>
      </w:pPr>
    </w:p>
    <w:tbl>
      <w:tblPr>
        <w:tblStyle w:val="Tablaconcuadrcula"/>
        <w:tblW w:w="0" w:type="auto"/>
        <w:tblLook w:val="04A0" w:firstRow="1" w:lastRow="0" w:firstColumn="1" w:lastColumn="0" w:noHBand="0" w:noVBand="1"/>
      </w:tblPr>
      <w:tblGrid>
        <w:gridCol w:w="9210"/>
      </w:tblGrid>
      <w:tr w:rsidR="00F60F62" w:rsidTr="00F60F62">
        <w:tc>
          <w:tcPr>
            <w:tcW w:w="9210" w:type="dxa"/>
          </w:tcPr>
          <w:p w:rsidR="00F60F62" w:rsidRDefault="0093424D" w:rsidP="00DB5477">
            <w:pPr>
              <w:pStyle w:val="ITETexto1"/>
            </w:pPr>
            <w:r>
              <w:t>Principales objetivos para 2018</w:t>
            </w:r>
            <w:r w:rsidR="00F60F62">
              <w:t>:</w:t>
            </w:r>
          </w:p>
          <w:p w:rsidR="00F60F62" w:rsidRDefault="00F60F62" w:rsidP="00F60F62">
            <w:pPr>
              <w:pStyle w:val="ITETexto1"/>
              <w:numPr>
                <w:ilvl w:val="0"/>
                <w:numId w:val="39"/>
              </w:numPr>
            </w:pPr>
            <w:r>
              <w:t>Ampliación de dotación de centros de intemperie</w:t>
            </w:r>
          </w:p>
          <w:p w:rsidR="0093424D" w:rsidRDefault="0093424D" w:rsidP="00F60F62">
            <w:pPr>
              <w:pStyle w:val="ITETexto1"/>
              <w:numPr>
                <w:ilvl w:val="0"/>
                <w:numId w:val="39"/>
              </w:numPr>
            </w:pPr>
            <w:r>
              <w:t>Sustitución de torres de comunicaciones</w:t>
            </w:r>
          </w:p>
          <w:p w:rsidR="00F60F62" w:rsidRDefault="00F60F62" w:rsidP="00F60F62">
            <w:pPr>
              <w:pStyle w:val="ITETexto1"/>
              <w:numPr>
                <w:ilvl w:val="0"/>
                <w:numId w:val="39"/>
              </w:numPr>
            </w:pPr>
            <w:r>
              <w:t xml:space="preserve">Migración de </w:t>
            </w:r>
            <w:r w:rsidR="0093424D">
              <w:t>servicios</w:t>
            </w:r>
            <w:r>
              <w:t xml:space="preserve"> </w:t>
            </w:r>
            <w:r w:rsidR="0093424D">
              <w:t>a la nueva red</w:t>
            </w:r>
          </w:p>
          <w:p w:rsidR="00F60F62" w:rsidRDefault="0093424D" w:rsidP="0093424D">
            <w:pPr>
              <w:pStyle w:val="ITETexto1"/>
              <w:numPr>
                <w:ilvl w:val="0"/>
                <w:numId w:val="39"/>
              </w:numPr>
            </w:pPr>
            <w:r>
              <w:t>Sustitución de radioenlaces de la red troncal</w:t>
            </w:r>
          </w:p>
        </w:tc>
      </w:tr>
    </w:tbl>
    <w:p w:rsidR="00571FBC" w:rsidRDefault="00571FBC" w:rsidP="00DB5477">
      <w:pPr>
        <w:pStyle w:val="ITETexto1"/>
      </w:pPr>
    </w:p>
    <w:sectPr w:rsidR="00571FBC" w:rsidSect="009B5658">
      <w:headerReference w:type="default" r:id="rId13"/>
      <w:pgSz w:w="11906" w:h="16838" w:code="9"/>
      <w:pgMar w:top="1985" w:right="1418" w:bottom="1134" w:left="1418" w:header="680"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13B1" w:rsidRDefault="00C713B1" w:rsidP="00D71A10">
      <w:pPr>
        <w:pStyle w:val="Piedepgina"/>
      </w:pPr>
      <w:r>
        <w:separator/>
      </w:r>
    </w:p>
  </w:endnote>
  <w:endnote w:type="continuationSeparator" w:id="0">
    <w:p w:rsidR="00C713B1" w:rsidRDefault="00C713B1" w:rsidP="00D71A10">
      <w:pPr>
        <w:pStyle w:val="Piedepgin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3B1" w:rsidRPr="00974F6E" w:rsidRDefault="00C713B1" w:rsidP="0040262E">
    <w:pPr>
      <w:pStyle w:val="ITEPie"/>
      <w:jc w:val="center"/>
    </w:pPr>
    <w:r w:rsidRPr="00974F6E">
      <w:rPr>
        <w:rStyle w:val="Nmerodepgina"/>
        <w:rFonts w:cs="Times New Roman"/>
      </w:rPr>
      <w:fldChar w:fldCharType="begin"/>
    </w:r>
    <w:r w:rsidRPr="00974F6E">
      <w:rPr>
        <w:rStyle w:val="Nmerodepgina"/>
        <w:rFonts w:cs="Times New Roman"/>
      </w:rPr>
      <w:instrText xml:space="preserve"> PAGE </w:instrText>
    </w:r>
    <w:r w:rsidRPr="00974F6E">
      <w:rPr>
        <w:rStyle w:val="Nmerodepgina"/>
        <w:rFonts w:cs="Times New Roman"/>
      </w:rPr>
      <w:fldChar w:fldCharType="separate"/>
    </w:r>
    <w:r w:rsidR="00282F4D">
      <w:rPr>
        <w:rStyle w:val="Nmerodepgina"/>
        <w:rFonts w:cs="Times New Roman"/>
      </w:rPr>
      <w:t>7</w:t>
    </w:r>
    <w:r w:rsidRPr="00974F6E">
      <w:rPr>
        <w:rStyle w:val="Nmerodepgina"/>
        <w:rFonts w:cs="Times New Roman"/>
      </w:rPr>
      <w:fldChar w:fldCharType="end"/>
    </w:r>
    <w:r w:rsidRPr="00974F6E">
      <w:t xml:space="preserve"> de </w:t>
    </w:r>
    <w:r w:rsidRPr="00974F6E">
      <w:rPr>
        <w:rStyle w:val="Nmerodepgina"/>
        <w:rFonts w:cs="Times New Roman"/>
      </w:rPr>
      <w:fldChar w:fldCharType="begin"/>
    </w:r>
    <w:r w:rsidRPr="00974F6E">
      <w:rPr>
        <w:rStyle w:val="Nmerodepgina"/>
        <w:rFonts w:cs="Times New Roman"/>
      </w:rPr>
      <w:instrText xml:space="preserve"> NUMPAGES </w:instrText>
    </w:r>
    <w:r w:rsidRPr="00974F6E">
      <w:rPr>
        <w:rStyle w:val="Nmerodepgina"/>
        <w:rFonts w:cs="Times New Roman"/>
      </w:rPr>
      <w:fldChar w:fldCharType="separate"/>
    </w:r>
    <w:r w:rsidR="00282F4D">
      <w:rPr>
        <w:rStyle w:val="Nmerodepgina"/>
        <w:rFonts w:cs="Times New Roman"/>
      </w:rPr>
      <w:t>11</w:t>
    </w:r>
    <w:r w:rsidRPr="00974F6E">
      <w:rPr>
        <w:rStyle w:val="Nmerodepgina"/>
        <w:rFonts w:cs="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3B1" w:rsidRDefault="00C713B1" w:rsidP="0091124F">
    <w:pPr>
      <w:pStyle w:val="ITEPie"/>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13B1" w:rsidRDefault="00C713B1" w:rsidP="00D71A10">
      <w:pPr>
        <w:pStyle w:val="Piedepgina"/>
      </w:pPr>
      <w:r>
        <w:separator/>
      </w:r>
    </w:p>
  </w:footnote>
  <w:footnote w:type="continuationSeparator" w:id="0">
    <w:p w:rsidR="00C713B1" w:rsidRDefault="00C713B1" w:rsidP="00D71A10">
      <w:pPr>
        <w:pStyle w:val="Piedepgina"/>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3B1" w:rsidRDefault="00084502" w:rsidP="00974F6E">
    <w:pPr>
      <w:pStyle w:val="ITECabecera"/>
    </w:pPr>
    <w:r>
      <w:rPr>
        <w:noProof/>
      </w:rPr>
      <mc:AlternateContent>
        <mc:Choice Requires="wps">
          <w:drawing>
            <wp:anchor distT="0" distB="0" distL="114300" distR="114300" simplePos="0" relativeHeight="251661312" behindDoc="0" locked="1" layoutInCell="1" allowOverlap="1">
              <wp:simplePos x="0" y="0"/>
              <wp:positionH relativeFrom="page">
                <wp:posOffset>180340</wp:posOffset>
              </wp:positionH>
              <wp:positionV relativeFrom="page">
                <wp:posOffset>5581015</wp:posOffset>
              </wp:positionV>
              <wp:extent cx="360045" cy="3780155"/>
              <wp:effectExtent l="0" t="0" r="1905"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780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13B1" w:rsidRDefault="00C713B1" w:rsidP="009B5658">
                          <w:pPr>
                            <w:pStyle w:val="ITELateralInscripcionRegistro"/>
                          </w:pPr>
                          <w:r>
                            <w:t>I.F.Z.: A-95282216 Bizkaiko Merkataritza Erregistroa, BI-38047 O.a, 102 Oh. a, T 4347 , I. Idazp.a – Persona Bakarreko Baltzua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14.2pt;margin-top:439.45pt;width:28.35pt;height:297.6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" stroked="f">
              <v:textbox style="layout-flow:vertical;mso-layout-flow-alt:bottom-to-top">
                <w:txbxContent>
                  <w:p w:rsidR="00C713B1" w:rsidRDefault="00C713B1" w:rsidP="009B5658">
                    <w:pPr>
                      <w:pStyle w:val="ITELateralInscripcionRegistro"/>
                    </w:pPr>
                    <w:r>
                      <w:t>I.F.Z.: A-95282216 Bizkaiko Merkataritza Erregistroa, BI-38047 O.a, 102 Oh. a, T 4347 , I. Idazp.a – Persona Bakarreko Baltzua</w:t>
                    </w:r>
                  </w:p>
                </w:txbxContent>
              </v:textbox>
              <w10:wrap anchorx="page" anchory="page"/>
              <w10:anchorlock/>
            </v:shape>
          </w:pict>
        </mc:Fallback>
      </mc:AlternateContent>
    </w:r>
    <w:r>
      <w:rPr>
        <w:noProof/>
      </w:rPr>
      <mc:AlternateContent>
        <mc:Choice Requires="wps">
          <w:drawing>
            <wp:anchor distT="0" distB="0" distL="114300" distR="114300" simplePos="0" relativeHeight="251660288" behindDoc="0" locked="1" layoutInCell="1" allowOverlap="1">
              <wp:simplePos x="0" y="0"/>
              <wp:positionH relativeFrom="page">
                <wp:posOffset>180340</wp:posOffset>
              </wp:positionH>
              <wp:positionV relativeFrom="page">
                <wp:posOffset>1692275</wp:posOffset>
              </wp:positionV>
              <wp:extent cx="360045" cy="3780155"/>
              <wp:effectExtent l="0" t="0" r="1905"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780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13B1" w:rsidRDefault="00C713B1" w:rsidP="009B5658">
                          <w:pPr>
                            <w:pStyle w:val="ITELateralInscripcionRegistro"/>
                          </w:pPr>
                          <w:r>
                            <w:t>N.I.F.: A-95282216 Registro Mercantil de Bizkaia, Hoja BI-38047, Folio 102, T 4347 , Inscripción I. – Sociedad Unipersonal</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margin-left:14.2pt;margin-top:133.25pt;width:28.35pt;height:297.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" stroked="f">
              <v:textbox style="layout-flow:vertical;mso-layout-flow-alt:bottom-to-top">
                <w:txbxContent>
                  <w:p w:rsidR="00C713B1" w:rsidRDefault="00C713B1" w:rsidP="009B5658">
                    <w:pPr>
                      <w:pStyle w:val="ITELateralInscripcionRegistro"/>
                    </w:pPr>
                    <w:r>
                      <w:t>N.I.F.: A-95282216 Registro Mercantil de Bizkaia, Hoja BI-38047, Folio 102, T 4347 , Inscripción I. – Sociedad Unipersonal</w:t>
                    </w:r>
                  </w:p>
                </w:txbxContent>
              </v:textbox>
              <w10:wrap anchorx="page" anchory="page"/>
              <w10:anchorlock/>
            </v:shape>
          </w:pict>
        </mc:Fallback>
      </mc:AlternateContent>
    </w:r>
    <w:r>
      <w:rPr>
        <w:noProof/>
      </w:rPr>
      <mc:AlternateContent>
        <mc:Choice Requires="wps">
          <w:drawing>
            <wp:anchor distT="0" distB="0" distL="114300" distR="114300" simplePos="0" relativeHeight="251659264" behindDoc="0" locked="1" layoutInCell="1" allowOverlap="1">
              <wp:simplePos x="0" y="0"/>
              <wp:positionH relativeFrom="page">
                <wp:posOffset>4284345</wp:posOffset>
              </wp:positionH>
              <wp:positionV relativeFrom="page">
                <wp:posOffset>360045</wp:posOffset>
              </wp:positionV>
              <wp:extent cx="2514600" cy="57150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13B1" w:rsidRPr="004B59CB" w:rsidRDefault="00C713B1" w:rsidP="009B5658">
                          <w:pPr>
                            <w:pStyle w:val="ITECabeceraDireccion"/>
                            <w:rPr>
                              <w:lang w:val="pt-BR"/>
                            </w:rPr>
                          </w:pPr>
                          <w:r w:rsidRPr="004B59CB">
                            <w:rPr>
                              <w:lang w:val="pt-BR"/>
                            </w:rPr>
                            <w:t xml:space="preserve">Bizkaiko Teknologi Parkea, 101 </w:t>
                          </w:r>
                          <w:r w:rsidRPr="004B59CB">
                            <w:rPr>
                              <w:rFonts w:cs="Tahoma"/>
                              <w:lang w:val="pt-BR"/>
                            </w:rPr>
                            <w:t>•</w:t>
                          </w:r>
                          <w:r w:rsidRPr="004B59CB">
                            <w:rPr>
                              <w:lang w:val="pt-BR"/>
                            </w:rPr>
                            <w:t xml:space="preserve"> 48170 Zamudio – Bizkaia</w:t>
                          </w:r>
                        </w:p>
                        <w:p w:rsidR="00C713B1" w:rsidRPr="004B59CB" w:rsidRDefault="00C713B1" w:rsidP="009B5658">
                          <w:pPr>
                            <w:pStyle w:val="ITECabeceraDireccion"/>
                            <w:rPr>
                              <w:rFonts w:cs="Tahoma"/>
                              <w:lang w:val="pt-BR"/>
                            </w:rPr>
                          </w:pPr>
                          <w:r w:rsidRPr="004B59CB">
                            <w:rPr>
                              <w:lang w:val="pt-BR"/>
                            </w:rPr>
                            <w:t xml:space="preserve">Tel: 944 03 23 00 </w:t>
                          </w:r>
                          <w:r w:rsidRPr="004B59CB">
                            <w:rPr>
                              <w:rFonts w:cs="Tahoma"/>
                              <w:lang w:val="pt-BR"/>
                            </w:rPr>
                            <w:t>• Fax: 944 03 23 01</w:t>
                          </w:r>
                        </w:p>
                        <w:p w:rsidR="00C713B1" w:rsidRPr="004B59CB" w:rsidRDefault="00C713B1" w:rsidP="009B5658">
                          <w:pPr>
                            <w:pStyle w:val="ITECabeceraDireccion"/>
                            <w:rPr>
                              <w:lang w:val="pt-BR"/>
                            </w:rPr>
                          </w:pPr>
                          <w:r w:rsidRPr="004B59CB">
                            <w:rPr>
                              <w:rFonts w:cs="Tahoma"/>
                              <w:lang w:val="pt-BR"/>
                            </w:rPr>
                            <w:t>www.itelazpi.net • itelazpi@itelazpi.net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337.35pt;margin-top:28.35pt;width:198pt;height: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" stroked="f">
              <v:textbox>
                <w:txbxContent>
                  <w:p w:rsidR="00C713B1" w:rsidRPr="004B59CB" w:rsidRDefault="00C713B1" w:rsidP="009B5658">
                    <w:pPr>
                      <w:pStyle w:val="ITECabeceraDireccion"/>
                      <w:rPr>
                        <w:lang w:val="pt-BR"/>
                      </w:rPr>
                    </w:pPr>
                    <w:r w:rsidRPr="004B59CB">
                      <w:rPr>
                        <w:lang w:val="pt-BR"/>
                      </w:rPr>
                      <w:t xml:space="preserve">Bizkaiko Teknologi Parkea, 101 </w:t>
                    </w:r>
                    <w:r w:rsidRPr="004B59CB">
                      <w:rPr>
                        <w:rFonts w:cs="Tahoma"/>
                        <w:lang w:val="pt-BR"/>
                      </w:rPr>
                      <w:t>•</w:t>
                    </w:r>
                    <w:r w:rsidRPr="004B59CB">
                      <w:rPr>
                        <w:lang w:val="pt-BR"/>
                      </w:rPr>
                      <w:t xml:space="preserve"> 48170 Zamudio – Bizkaia</w:t>
                    </w:r>
                  </w:p>
                  <w:p w:rsidR="00C713B1" w:rsidRPr="004B59CB" w:rsidRDefault="00C713B1" w:rsidP="009B5658">
                    <w:pPr>
                      <w:pStyle w:val="ITECabeceraDireccion"/>
                      <w:rPr>
                        <w:rFonts w:cs="Tahoma"/>
                        <w:lang w:val="pt-BR"/>
                      </w:rPr>
                    </w:pPr>
                    <w:r w:rsidRPr="004B59CB">
                      <w:rPr>
                        <w:lang w:val="pt-BR"/>
                      </w:rPr>
                      <w:t xml:space="preserve">Tel: 944 03 23 00 </w:t>
                    </w:r>
                    <w:r w:rsidRPr="004B59CB">
                      <w:rPr>
                        <w:rFonts w:cs="Tahoma"/>
                        <w:lang w:val="pt-BR"/>
                      </w:rPr>
                      <w:t>• Fax: 944 03 23 01</w:t>
                    </w:r>
                  </w:p>
                  <w:p w:rsidR="00C713B1" w:rsidRPr="004B59CB" w:rsidRDefault="00C713B1" w:rsidP="009B5658">
                    <w:pPr>
                      <w:pStyle w:val="ITECabeceraDireccion"/>
                      <w:rPr>
                        <w:lang w:val="pt-BR"/>
                      </w:rPr>
                    </w:pPr>
                    <w:r w:rsidRPr="004B59CB">
                      <w:rPr>
                        <w:rFonts w:cs="Tahoma"/>
                        <w:lang w:val="pt-BR"/>
                      </w:rPr>
                      <w:t>www.itelazpi.net • itelazpi@itelazpi.net</w:t>
                    </w:r>
                  </w:p>
                </w:txbxContent>
              </v:textbox>
              <w10:wrap anchorx="page" anchory="page"/>
              <w10:anchorlock/>
            </v:shape>
          </w:pict>
        </mc:Fallback>
      </mc:AlternateContent>
    </w:r>
    <w:r w:rsidR="00C713B1" w:rsidRPr="00AB74F4">
      <w:rPr>
        <w:noProof/>
      </w:rPr>
      <w:drawing>
        <wp:anchor distT="0" distB="0" distL="114300" distR="114300" simplePos="0" relativeHeight="251663360" behindDoc="0" locked="1" layoutInCell="1" allowOverlap="1">
          <wp:simplePos x="0" y="0"/>
          <wp:positionH relativeFrom="page">
            <wp:posOffset>360244</wp:posOffset>
          </wp:positionH>
          <wp:positionV relativeFrom="page">
            <wp:posOffset>252484</wp:posOffset>
          </wp:positionV>
          <wp:extent cx="1379846" cy="634620"/>
          <wp:effectExtent l="19050" t="0" r="0"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rcRect l="5882" t="18761" r="4092" b="14773"/>
                  <a:stretch>
                    <a:fillRect/>
                  </a:stretch>
                </pic:blipFill>
                <pic:spPr>
                  <a:xfrm>
                    <a:off x="0" y="0"/>
                    <a:ext cx="1377950" cy="635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3B1" w:rsidRDefault="00084502" w:rsidP="0091124F">
    <w:pPr>
      <w:pStyle w:val="ITECabecera"/>
    </w:pPr>
    <w:r>
      <w:rPr>
        <w:noProof/>
      </w:rPr>
      <mc:AlternateContent>
        <mc:Choice Requires="wps">
          <w:drawing>
            <wp:anchor distT="0" distB="0" distL="114300" distR="114300" simplePos="0" relativeHeight="251657216" behindDoc="0" locked="1" layoutInCell="1" allowOverlap="1">
              <wp:simplePos x="0" y="0"/>
              <wp:positionH relativeFrom="page">
                <wp:posOffset>180340</wp:posOffset>
              </wp:positionH>
              <wp:positionV relativeFrom="page">
                <wp:posOffset>5400675</wp:posOffset>
              </wp:positionV>
              <wp:extent cx="360045" cy="3959860"/>
              <wp:effectExtent l="0" t="0" r="1905" b="254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959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13B1" w:rsidRDefault="00C713B1" w:rsidP="0091124F">
                          <w:pPr>
                            <w:pStyle w:val="ITELateralInscripcionRegistro"/>
                          </w:pPr>
                          <w:r>
                            <w:t>I.F.Z.: A-95282216 Bizkaiko Merkataritza Erregistroa, BI-38047 O.a, 102 Oh. a, T 4347 , I. Idazp.a – Persona Bakarreko Baltzua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margin-left:14.2pt;margin-top:425.25pt;width:28.35pt;height:311.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" stroked="f">
              <v:textbox style="layout-flow:vertical;mso-layout-flow-alt:bottom-to-top">
                <w:txbxContent>
                  <w:p w:rsidR="00C713B1" w:rsidRDefault="00C713B1" w:rsidP="0091124F">
                    <w:pPr>
                      <w:pStyle w:val="ITELateralInscripcionRegistro"/>
                    </w:pPr>
                    <w:r>
                      <w:t>I.F.Z.: A-95282216 Bizkaiko Merkataritza Erregistroa, BI-38047 O.a, 102 Oh. a, T 4347 , I. Idazp.a – Persona Bakarreko Baltzua</w:t>
                    </w:r>
                  </w:p>
                </w:txbxContent>
              </v:textbox>
              <w10:wrap anchorx="page" anchory="page"/>
              <w10:anchorlock/>
            </v:shape>
          </w:pict>
        </mc:Fallback>
      </mc:AlternateContent>
    </w:r>
    <w:r>
      <w:rPr>
        <w:noProof/>
      </w:rPr>
      <mc:AlternateContent>
        <mc:Choice Requires="wps">
          <w:drawing>
            <wp:anchor distT="0" distB="0" distL="114300" distR="114300" simplePos="0" relativeHeight="251656192" behindDoc="0" locked="1" layoutInCell="1" allowOverlap="1">
              <wp:simplePos x="0" y="0"/>
              <wp:positionH relativeFrom="page">
                <wp:posOffset>180340</wp:posOffset>
              </wp:positionH>
              <wp:positionV relativeFrom="page">
                <wp:posOffset>1800225</wp:posOffset>
              </wp:positionV>
              <wp:extent cx="360045" cy="3959860"/>
              <wp:effectExtent l="0" t="0" r="1905" b="254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959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13B1" w:rsidRDefault="00C713B1" w:rsidP="0091124F">
                          <w:pPr>
                            <w:pStyle w:val="ITELateralInscripcionRegistro"/>
                          </w:pPr>
                          <w:r>
                            <w:t>N.I.F.: A-95282216 Registro Mercantil de Bizkaia, Hoja BI-38047, Folio 102, T 4347 , Inscripción I. – Sociedad Unipersonal</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0" type="#_x0000_t202" style="position:absolute;margin-left:14.2pt;margin-top:141.75pt;width:28.35pt;height:311.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" stroked="f">
              <v:textbox style="layout-flow:vertical;mso-layout-flow-alt:bottom-to-top">
                <w:txbxContent>
                  <w:p w:rsidR="00C713B1" w:rsidRDefault="00C713B1" w:rsidP="0091124F">
                    <w:pPr>
                      <w:pStyle w:val="ITELateralInscripcionRegistro"/>
                    </w:pPr>
                    <w:r>
                      <w:t>N.I.F.: A-95282216 Registro Mercantil de Bizkaia, Hoja BI-38047, Folio 102, T 4347 , Inscripción I. – Sociedad Unipersonal</w:t>
                    </w:r>
                  </w:p>
                </w:txbxContent>
              </v:textbox>
              <w10:wrap anchorx="page" anchory="page"/>
              <w10:anchorlock/>
            </v:shape>
          </w:pict>
        </mc:Fallback>
      </mc:AlternateContent>
    </w:r>
    <w:r>
      <w:rPr>
        <w:noProof/>
      </w:rPr>
      <mc:AlternateContent>
        <mc:Choice Requires="wps">
          <w:drawing>
            <wp:anchor distT="0" distB="0" distL="114300" distR="114300" simplePos="0" relativeHeight="251655168" behindDoc="0" locked="1" layoutInCell="1" allowOverlap="1">
              <wp:simplePos x="0" y="0"/>
              <wp:positionH relativeFrom="page">
                <wp:posOffset>4284345</wp:posOffset>
              </wp:positionH>
              <wp:positionV relativeFrom="page">
                <wp:posOffset>360045</wp:posOffset>
              </wp:positionV>
              <wp:extent cx="2514600" cy="57150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13B1" w:rsidRPr="004B59CB" w:rsidRDefault="00C713B1" w:rsidP="0091124F">
                          <w:pPr>
                            <w:pStyle w:val="ITECabeceraDireccion"/>
                            <w:rPr>
                              <w:lang w:val="pt-BR"/>
                            </w:rPr>
                          </w:pPr>
                          <w:r w:rsidRPr="004B59CB">
                            <w:rPr>
                              <w:lang w:val="pt-BR"/>
                            </w:rPr>
                            <w:t xml:space="preserve">Bizkaiko Teknologi Parkea, 101 </w:t>
                          </w:r>
                          <w:r w:rsidRPr="004B59CB">
                            <w:rPr>
                              <w:rFonts w:cs="Tahoma"/>
                              <w:lang w:val="pt-BR"/>
                            </w:rPr>
                            <w:t>•</w:t>
                          </w:r>
                          <w:r w:rsidRPr="004B59CB">
                            <w:rPr>
                              <w:lang w:val="pt-BR"/>
                            </w:rPr>
                            <w:t xml:space="preserve"> 48170 Zamudio – Bizkaia</w:t>
                          </w:r>
                        </w:p>
                        <w:p w:rsidR="00C713B1" w:rsidRPr="004B59CB" w:rsidRDefault="00C713B1" w:rsidP="0091124F">
                          <w:pPr>
                            <w:pStyle w:val="ITECabeceraDireccion"/>
                            <w:rPr>
                              <w:rFonts w:cs="Tahoma"/>
                              <w:lang w:val="pt-BR"/>
                            </w:rPr>
                          </w:pPr>
                          <w:r w:rsidRPr="004B59CB">
                            <w:rPr>
                              <w:lang w:val="pt-BR"/>
                            </w:rPr>
                            <w:t xml:space="preserve">Tel: 944 03 23 00 </w:t>
                          </w:r>
                          <w:r w:rsidRPr="004B59CB">
                            <w:rPr>
                              <w:rFonts w:cs="Tahoma"/>
                              <w:lang w:val="pt-BR"/>
                            </w:rPr>
                            <w:t>• Fax: 944 03 23 01</w:t>
                          </w:r>
                        </w:p>
                        <w:p w:rsidR="00C713B1" w:rsidRPr="004B59CB" w:rsidRDefault="00C713B1" w:rsidP="0091124F">
                          <w:pPr>
                            <w:pStyle w:val="ITECabeceraDireccion"/>
                            <w:rPr>
                              <w:lang w:val="pt-BR"/>
                            </w:rPr>
                          </w:pPr>
                          <w:r w:rsidRPr="004B59CB">
                            <w:rPr>
                              <w:rFonts w:cs="Tahoma"/>
                              <w:lang w:val="pt-BR"/>
                            </w:rPr>
                            <w:t>www.itelazpi.</w:t>
                          </w:r>
                          <w:r>
                            <w:rPr>
                              <w:rFonts w:cs="Tahoma"/>
                              <w:lang w:val="pt-BR"/>
                            </w:rPr>
                            <w:t>eus</w:t>
                          </w:r>
                          <w:r w:rsidRPr="004B59CB">
                            <w:rPr>
                              <w:rFonts w:cs="Tahoma"/>
                              <w:lang w:val="pt-BR"/>
                            </w:rPr>
                            <w:t xml:space="preserve"> • itelazpi@itelazpi.</w:t>
                          </w:r>
                          <w:r>
                            <w:rPr>
                              <w:rFonts w:cs="Tahoma"/>
                              <w:lang w:val="pt-BR"/>
                            </w:rPr>
                            <w:t>eus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1" type="#_x0000_t202" style="position:absolute;margin-left:337.35pt;margin-top:28.35pt;width:198pt;height:4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" stroked="f">
              <v:textbox>
                <w:txbxContent>
                  <w:p w:rsidR="00C713B1" w:rsidRPr="004B59CB" w:rsidRDefault="00C713B1" w:rsidP="0091124F">
                    <w:pPr>
                      <w:pStyle w:val="ITECabeceraDireccion"/>
                      <w:rPr>
                        <w:lang w:val="pt-BR"/>
                      </w:rPr>
                    </w:pPr>
                    <w:r w:rsidRPr="004B59CB">
                      <w:rPr>
                        <w:lang w:val="pt-BR"/>
                      </w:rPr>
                      <w:t xml:space="preserve">Bizkaiko Teknologi Parkea, 101 </w:t>
                    </w:r>
                    <w:r w:rsidRPr="004B59CB">
                      <w:rPr>
                        <w:rFonts w:cs="Tahoma"/>
                        <w:lang w:val="pt-BR"/>
                      </w:rPr>
                      <w:t>•</w:t>
                    </w:r>
                    <w:r w:rsidRPr="004B59CB">
                      <w:rPr>
                        <w:lang w:val="pt-BR"/>
                      </w:rPr>
                      <w:t xml:space="preserve"> 48170 Zamudio – Bizkaia</w:t>
                    </w:r>
                  </w:p>
                  <w:p w:rsidR="00C713B1" w:rsidRPr="004B59CB" w:rsidRDefault="00C713B1" w:rsidP="0091124F">
                    <w:pPr>
                      <w:pStyle w:val="ITECabeceraDireccion"/>
                      <w:rPr>
                        <w:rFonts w:cs="Tahoma"/>
                        <w:lang w:val="pt-BR"/>
                      </w:rPr>
                    </w:pPr>
                    <w:r w:rsidRPr="004B59CB">
                      <w:rPr>
                        <w:lang w:val="pt-BR"/>
                      </w:rPr>
                      <w:t xml:space="preserve">Tel: 944 03 23 00 </w:t>
                    </w:r>
                    <w:r w:rsidRPr="004B59CB">
                      <w:rPr>
                        <w:rFonts w:cs="Tahoma"/>
                        <w:lang w:val="pt-BR"/>
                      </w:rPr>
                      <w:t>• Fax: 944 03 23 01</w:t>
                    </w:r>
                  </w:p>
                  <w:p w:rsidR="00C713B1" w:rsidRPr="004B59CB" w:rsidRDefault="00C713B1" w:rsidP="0091124F">
                    <w:pPr>
                      <w:pStyle w:val="ITECabeceraDireccion"/>
                      <w:rPr>
                        <w:lang w:val="pt-BR"/>
                      </w:rPr>
                    </w:pPr>
                    <w:r w:rsidRPr="004B59CB">
                      <w:rPr>
                        <w:rFonts w:cs="Tahoma"/>
                        <w:lang w:val="pt-BR"/>
                      </w:rPr>
                      <w:t>www.itelazpi.</w:t>
                    </w:r>
                    <w:r>
                      <w:rPr>
                        <w:rFonts w:cs="Tahoma"/>
                        <w:lang w:val="pt-BR"/>
                      </w:rPr>
                      <w:t>eus</w:t>
                    </w:r>
                    <w:r w:rsidRPr="004B59CB">
                      <w:rPr>
                        <w:rFonts w:cs="Tahoma"/>
                        <w:lang w:val="pt-BR"/>
                      </w:rPr>
                      <w:t xml:space="preserve"> • itelazpi@itelazpi.</w:t>
                    </w:r>
                    <w:r>
                      <w:rPr>
                        <w:rFonts w:cs="Tahoma"/>
                        <w:lang w:val="pt-BR"/>
                      </w:rPr>
                      <w:t>eus</w:t>
                    </w:r>
                  </w:p>
                </w:txbxContent>
              </v:textbox>
              <w10:wrap anchorx="page" anchory="page"/>
              <w10:anchorlock/>
            </v:shape>
          </w:pict>
        </mc:Fallback>
      </mc:AlternateContent>
    </w:r>
    <w:r w:rsidR="00C713B1" w:rsidRPr="00250B52">
      <w:rPr>
        <w:noProof/>
      </w:rPr>
      <w:drawing>
        <wp:anchor distT="0" distB="0" distL="114300" distR="114300" simplePos="0" relativeHeight="251665408" behindDoc="0" locked="1" layoutInCell="1" allowOverlap="1">
          <wp:simplePos x="0" y="0"/>
          <wp:positionH relativeFrom="page">
            <wp:posOffset>360045</wp:posOffset>
          </wp:positionH>
          <wp:positionV relativeFrom="page">
            <wp:posOffset>252095</wp:posOffset>
          </wp:positionV>
          <wp:extent cx="1381125" cy="638175"/>
          <wp:effectExtent l="19050" t="0" r="952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rcRect l="5882" t="18761" r="4092" b="14773"/>
                  <a:stretch>
                    <a:fillRect/>
                  </a:stretch>
                </pic:blipFill>
                <pic:spPr>
                  <a:xfrm>
                    <a:off x="0" y="0"/>
                    <a:ext cx="1377950" cy="63500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3B1" w:rsidRDefault="00C713B1" w:rsidP="00003F3E">
    <w:pPr>
      <w:pStyle w:val="ITECabecera"/>
      <w:jc w:val="right"/>
    </w:pPr>
    <w:r w:rsidRPr="00A66E60">
      <w:rPr>
        <w:noProof/>
      </w:rPr>
      <w:drawing>
        <wp:inline distT="0" distB="0" distL="0" distR="0">
          <wp:extent cx="595099" cy="593677"/>
          <wp:effectExtent l="1905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boloa.jpg"/>
                  <pic:cNvPicPr/>
                </pic:nvPicPr>
                <pic:blipFill>
                  <a:blip r:embed="rId1">
                    <a:extLst>
                      <a:ext uri="{28A0092B-C50C-407E-A947-70E740481C1C}">
                        <a14:useLocalDpi xmlns:a14="http://schemas.microsoft.com/office/drawing/2010/main" val="0"/>
                      </a:ext>
                    </a:extLst>
                  </a:blip>
                  <a:stretch>
                    <a:fillRect/>
                  </a:stretch>
                </pic:blipFill>
                <pic:spPr>
                  <a:xfrm>
                    <a:off x="0" y="0"/>
                    <a:ext cx="596900" cy="5969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92E3F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26A3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C8027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BF677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12660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44D8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024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2C302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F1A3A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146C0A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4879D6"/>
    <w:multiLevelType w:val="multilevel"/>
    <w:tmpl w:val="4E463E2C"/>
    <w:lvl w:ilvl="0">
      <w:start w:val="1"/>
      <w:numFmt w:val="decimal"/>
      <w:lvlText w:val="%1."/>
      <w:lvlJc w:val="left"/>
      <w:pPr>
        <w:tabs>
          <w:tab w:val="num" w:pos="567"/>
        </w:tabs>
        <w:ind w:left="567" w:hanging="567"/>
      </w:pPr>
      <w:rPr>
        <w:rFonts w:ascii="Tahoma" w:hAnsi="Tahoma" w:hint="default"/>
        <w:b/>
        <w:i w:val="0"/>
        <w:color w:val="000000"/>
      </w:rPr>
    </w:lvl>
    <w:lvl w:ilvl="1">
      <w:start w:val="1"/>
      <w:numFmt w:val="decimal"/>
      <w:lvlText w:val="%1.%2."/>
      <w:lvlJc w:val="left"/>
      <w:pPr>
        <w:tabs>
          <w:tab w:val="num" w:pos="851"/>
        </w:tabs>
        <w:ind w:left="851" w:hanging="851"/>
      </w:pPr>
      <w:rPr>
        <w:rFonts w:hint="default"/>
        <w:color w:val="000000"/>
      </w:rPr>
    </w:lvl>
    <w:lvl w:ilvl="2">
      <w:start w:val="1"/>
      <w:numFmt w:val="decimal"/>
      <w:lvlText w:val="%1.%2.%3."/>
      <w:lvlJc w:val="left"/>
      <w:pPr>
        <w:tabs>
          <w:tab w:val="num" w:pos="1440"/>
        </w:tabs>
        <w:ind w:left="1021" w:hanging="1021"/>
      </w:pPr>
      <w:rPr>
        <w:rFonts w:hint="default"/>
      </w:rPr>
    </w:lvl>
    <w:lvl w:ilvl="3">
      <w:start w:val="1"/>
      <w:numFmt w:val="decimal"/>
      <w:lvlText w:val="%1.%2.%3.%4."/>
      <w:lvlJc w:val="left"/>
      <w:pPr>
        <w:tabs>
          <w:tab w:val="num" w:pos="1800"/>
        </w:tabs>
        <w:ind w:left="1191" w:hanging="119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1F86132C"/>
    <w:multiLevelType w:val="hybridMultilevel"/>
    <w:tmpl w:val="0B6ED690"/>
    <w:lvl w:ilvl="0" w:tplc="AD202774">
      <w:start w:val="1"/>
      <w:numFmt w:val="lowerLetter"/>
      <w:pStyle w:val="ITEListaTercerNivel1"/>
      <w:lvlText w:val="%1)"/>
      <w:lvlJc w:val="left"/>
      <w:pPr>
        <w:tabs>
          <w:tab w:val="num" w:pos="1776"/>
        </w:tabs>
        <w:ind w:left="1776" w:hanging="360"/>
      </w:pPr>
    </w:lvl>
    <w:lvl w:ilvl="1" w:tplc="0C0A0019" w:tentative="1">
      <w:start w:val="1"/>
      <w:numFmt w:val="lowerLetter"/>
      <w:lvlText w:val="%2."/>
      <w:lvlJc w:val="left"/>
      <w:pPr>
        <w:tabs>
          <w:tab w:val="num" w:pos="2572"/>
        </w:tabs>
        <w:ind w:left="2572" w:hanging="360"/>
      </w:pPr>
    </w:lvl>
    <w:lvl w:ilvl="2" w:tplc="0C0A001B" w:tentative="1">
      <w:start w:val="1"/>
      <w:numFmt w:val="lowerRoman"/>
      <w:lvlText w:val="%3."/>
      <w:lvlJc w:val="right"/>
      <w:pPr>
        <w:tabs>
          <w:tab w:val="num" w:pos="3292"/>
        </w:tabs>
        <w:ind w:left="3292" w:hanging="180"/>
      </w:pPr>
    </w:lvl>
    <w:lvl w:ilvl="3" w:tplc="0C0A000F" w:tentative="1">
      <w:start w:val="1"/>
      <w:numFmt w:val="decimal"/>
      <w:lvlText w:val="%4."/>
      <w:lvlJc w:val="left"/>
      <w:pPr>
        <w:tabs>
          <w:tab w:val="num" w:pos="4012"/>
        </w:tabs>
        <w:ind w:left="4012" w:hanging="360"/>
      </w:pPr>
    </w:lvl>
    <w:lvl w:ilvl="4" w:tplc="0C0A0019" w:tentative="1">
      <w:start w:val="1"/>
      <w:numFmt w:val="lowerLetter"/>
      <w:lvlText w:val="%5."/>
      <w:lvlJc w:val="left"/>
      <w:pPr>
        <w:tabs>
          <w:tab w:val="num" w:pos="4732"/>
        </w:tabs>
        <w:ind w:left="4732" w:hanging="360"/>
      </w:pPr>
    </w:lvl>
    <w:lvl w:ilvl="5" w:tplc="0C0A001B" w:tentative="1">
      <w:start w:val="1"/>
      <w:numFmt w:val="lowerRoman"/>
      <w:lvlText w:val="%6."/>
      <w:lvlJc w:val="right"/>
      <w:pPr>
        <w:tabs>
          <w:tab w:val="num" w:pos="5452"/>
        </w:tabs>
        <w:ind w:left="5452" w:hanging="180"/>
      </w:pPr>
    </w:lvl>
    <w:lvl w:ilvl="6" w:tplc="0C0A000F" w:tentative="1">
      <w:start w:val="1"/>
      <w:numFmt w:val="decimal"/>
      <w:lvlText w:val="%7."/>
      <w:lvlJc w:val="left"/>
      <w:pPr>
        <w:tabs>
          <w:tab w:val="num" w:pos="6172"/>
        </w:tabs>
        <w:ind w:left="6172" w:hanging="360"/>
      </w:pPr>
    </w:lvl>
    <w:lvl w:ilvl="7" w:tplc="0C0A0019" w:tentative="1">
      <w:start w:val="1"/>
      <w:numFmt w:val="lowerLetter"/>
      <w:lvlText w:val="%8."/>
      <w:lvlJc w:val="left"/>
      <w:pPr>
        <w:tabs>
          <w:tab w:val="num" w:pos="6892"/>
        </w:tabs>
        <w:ind w:left="6892" w:hanging="360"/>
      </w:pPr>
    </w:lvl>
    <w:lvl w:ilvl="8" w:tplc="0C0A001B" w:tentative="1">
      <w:start w:val="1"/>
      <w:numFmt w:val="lowerRoman"/>
      <w:lvlText w:val="%9."/>
      <w:lvlJc w:val="right"/>
      <w:pPr>
        <w:tabs>
          <w:tab w:val="num" w:pos="7612"/>
        </w:tabs>
        <w:ind w:left="7612" w:hanging="180"/>
      </w:pPr>
    </w:lvl>
  </w:abstractNum>
  <w:abstractNum w:abstractNumId="12" w15:restartNumberingAfterBreak="0">
    <w:nsid w:val="1FE13F0B"/>
    <w:multiLevelType w:val="multilevel"/>
    <w:tmpl w:val="4E463E2C"/>
    <w:lvl w:ilvl="0">
      <w:start w:val="1"/>
      <w:numFmt w:val="decimal"/>
      <w:pStyle w:val="ITETitulo1"/>
      <w:lvlText w:val="%1."/>
      <w:lvlJc w:val="left"/>
      <w:pPr>
        <w:tabs>
          <w:tab w:val="num" w:pos="567"/>
        </w:tabs>
        <w:ind w:left="567" w:hanging="567"/>
      </w:pPr>
      <w:rPr>
        <w:rFonts w:ascii="Tahoma" w:hAnsi="Tahoma" w:hint="default"/>
        <w:b/>
        <w:i w:val="0"/>
        <w:color w:val="000000"/>
      </w:rPr>
    </w:lvl>
    <w:lvl w:ilvl="1">
      <w:start w:val="1"/>
      <w:numFmt w:val="decimal"/>
      <w:pStyle w:val="ITETitulo2"/>
      <w:lvlText w:val="%1.%2."/>
      <w:lvlJc w:val="left"/>
      <w:pPr>
        <w:tabs>
          <w:tab w:val="num" w:pos="851"/>
        </w:tabs>
        <w:ind w:left="851" w:hanging="851"/>
      </w:pPr>
      <w:rPr>
        <w:rFonts w:hint="default"/>
        <w:color w:val="000000"/>
      </w:rPr>
    </w:lvl>
    <w:lvl w:ilvl="2">
      <w:start w:val="1"/>
      <w:numFmt w:val="decimal"/>
      <w:pStyle w:val="ITETitulo3"/>
      <w:lvlText w:val="%1.%2.%3."/>
      <w:lvlJc w:val="left"/>
      <w:pPr>
        <w:tabs>
          <w:tab w:val="num" w:pos="1440"/>
        </w:tabs>
        <w:ind w:left="1021" w:hanging="1021"/>
      </w:pPr>
      <w:rPr>
        <w:rFonts w:hint="default"/>
      </w:rPr>
    </w:lvl>
    <w:lvl w:ilvl="3">
      <w:start w:val="1"/>
      <w:numFmt w:val="decimal"/>
      <w:pStyle w:val="ITETitulo4"/>
      <w:lvlText w:val="%1.%2.%3.%4."/>
      <w:lvlJc w:val="left"/>
      <w:pPr>
        <w:tabs>
          <w:tab w:val="num" w:pos="1800"/>
        </w:tabs>
        <w:ind w:left="1191" w:hanging="119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20E766DE"/>
    <w:multiLevelType w:val="hybridMultilevel"/>
    <w:tmpl w:val="5080924E"/>
    <w:lvl w:ilvl="0" w:tplc="0C0A0001">
      <w:start w:val="1"/>
      <w:numFmt w:val="bullet"/>
      <w:lvlText w:val=""/>
      <w:lvlJc w:val="left"/>
      <w:pPr>
        <w:tabs>
          <w:tab w:val="num" w:pos="1003"/>
        </w:tabs>
        <w:ind w:left="1003" w:hanging="360"/>
      </w:pPr>
      <w:rPr>
        <w:rFonts w:ascii="Symbol" w:hAnsi="Symbol" w:hint="default"/>
      </w:rPr>
    </w:lvl>
    <w:lvl w:ilvl="1" w:tplc="0C0A0003" w:tentative="1">
      <w:start w:val="1"/>
      <w:numFmt w:val="bullet"/>
      <w:lvlText w:val="o"/>
      <w:lvlJc w:val="left"/>
      <w:pPr>
        <w:tabs>
          <w:tab w:val="num" w:pos="1723"/>
        </w:tabs>
        <w:ind w:left="1723" w:hanging="360"/>
      </w:pPr>
      <w:rPr>
        <w:rFonts w:ascii="Courier New" w:hAnsi="Courier New" w:cs="Courier New" w:hint="default"/>
      </w:rPr>
    </w:lvl>
    <w:lvl w:ilvl="2" w:tplc="0C0A0005" w:tentative="1">
      <w:start w:val="1"/>
      <w:numFmt w:val="bullet"/>
      <w:lvlText w:val=""/>
      <w:lvlJc w:val="left"/>
      <w:pPr>
        <w:tabs>
          <w:tab w:val="num" w:pos="2443"/>
        </w:tabs>
        <w:ind w:left="2443" w:hanging="360"/>
      </w:pPr>
      <w:rPr>
        <w:rFonts w:ascii="Wingdings" w:hAnsi="Wingdings" w:hint="default"/>
      </w:rPr>
    </w:lvl>
    <w:lvl w:ilvl="3" w:tplc="0C0A0001" w:tentative="1">
      <w:start w:val="1"/>
      <w:numFmt w:val="bullet"/>
      <w:lvlText w:val=""/>
      <w:lvlJc w:val="left"/>
      <w:pPr>
        <w:tabs>
          <w:tab w:val="num" w:pos="3163"/>
        </w:tabs>
        <w:ind w:left="3163" w:hanging="360"/>
      </w:pPr>
      <w:rPr>
        <w:rFonts w:ascii="Symbol" w:hAnsi="Symbol" w:hint="default"/>
      </w:rPr>
    </w:lvl>
    <w:lvl w:ilvl="4" w:tplc="0C0A0003" w:tentative="1">
      <w:start w:val="1"/>
      <w:numFmt w:val="bullet"/>
      <w:lvlText w:val="o"/>
      <w:lvlJc w:val="left"/>
      <w:pPr>
        <w:tabs>
          <w:tab w:val="num" w:pos="3883"/>
        </w:tabs>
        <w:ind w:left="3883" w:hanging="360"/>
      </w:pPr>
      <w:rPr>
        <w:rFonts w:ascii="Courier New" w:hAnsi="Courier New" w:cs="Courier New" w:hint="default"/>
      </w:rPr>
    </w:lvl>
    <w:lvl w:ilvl="5" w:tplc="0C0A0005" w:tentative="1">
      <w:start w:val="1"/>
      <w:numFmt w:val="bullet"/>
      <w:lvlText w:val=""/>
      <w:lvlJc w:val="left"/>
      <w:pPr>
        <w:tabs>
          <w:tab w:val="num" w:pos="4603"/>
        </w:tabs>
        <w:ind w:left="4603" w:hanging="360"/>
      </w:pPr>
      <w:rPr>
        <w:rFonts w:ascii="Wingdings" w:hAnsi="Wingdings" w:hint="default"/>
      </w:rPr>
    </w:lvl>
    <w:lvl w:ilvl="6" w:tplc="0C0A0001" w:tentative="1">
      <w:start w:val="1"/>
      <w:numFmt w:val="bullet"/>
      <w:lvlText w:val=""/>
      <w:lvlJc w:val="left"/>
      <w:pPr>
        <w:tabs>
          <w:tab w:val="num" w:pos="5323"/>
        </w:tabs>
        <w:ind w:left="5323" w:hanging="360"/>
      </w:pPr>
      <w:rPr>
        <w:rFonts w:ascii="Symbol" w:hAnsi="Symbol" w:hint="default"/>
      </w:rPr>
    </w:lvl>
    <w:lvl w:ilvl="7" w:tplc="0C0A0003" w:tentative="1">
      <w:start w:val="1"/>
      <w:numFmt w:val="bullet"/>
      <w:lvlText w:val="o"/>
      <w:lvlJc w:val="left"/>
      <w:pPr>
        <w:tabs>
          <w:tab w:val="num" w:pos="6043"/>
        </w:tabs>
        <w:ind w:left="6043" w:hanging="360"/>
      </w:pPr>
      <w:rPr>
        <w:rFonts w:ascii="Courier New" w:hAnsi="Courier New" w:cs="Courier New" w:hint="default"/>
      </w:rPr>
    </w:lvl>
    <w:lvl w:ilvl="8" w:tplc="0C0A0005" w:tentative="1">
      <w:start w:val="1"/>
      <w:numFmt w:val="bullet"/>
      <w:lvlText w:val=""/>
      <w:lvlJc w:val="left"/>
      <w:pPr>
        <w:tabs>
          <w:tab w:val="num" w:pos="6763"/>
        </w:tabs>
        <w:ind w:left="6763" w:hanging="360"/>
      </w:pPr>
      <w:rPr>
        <w:rFonts w:ascii="Wingdings" w:hAnsi="Wingdings" w:hint="default"/>
      </w:rPr>
    </w:lvl>
  </w:abstractNum>
  <w:abstractNum w:abstractNumId="14" w15:restartNumberingAfterBreak="0">
    <w:nsid w:val="23675BC5"/>
    <w:multiLevelType w:val="hybridMultilevel"/>
    <w:tmpl w:val="CCA6810A"/>
    <w:lvl w:ilvl="0" w:tplc="0C0A000B">
      <w:start w:val="1"/>
      <w:numFmt w:val="bullet"/>
      <w:lvlText w:val=""/>
      <w:lvlJc w:val="left"/>
      <w:pPr>
        <w:tabs>
          <w:tab w:val="num" w:pos="1003"/>
        </w:tabs>
        <w:ind w:left="1003" w:hanging="360"/>
      </w:pPr>
      <w:rPr>
        <w:rFonts w:ascii="Wingdings" w:hAnsi="Wingdings" w:hint="default"/>
      </w:rPr>
    </w:lvl>
    <w:lvl w:ilvl="1" w:tplc="0C0A0003" w:tentative="1">
      <w:start w:val="1"/>
      <w:numFmt w:val="bullet"/>
      <w:lvlText w:val="o"/>
      <w:lvlJc w:val="left"/>
      <w:pPr>
        <w:tabs>
          <w:tab w:val="num" w:pos="1723"/>
        </w:tabs>
        <w:ind w:left="1723" w:hanging="360"/>
      </w:pPr>
      <w:rPr>
        <w:rFonts w:ascii="Courier New" w:hAnsi="Courier New" w:cs="Courier New" w:hint="default"/>
      </w:rPr>
    </w:lvl>
    <w:lvl w:ilvl="2" w:tplc="0C0A0005" w:tentative="1">
      <w:start w:val="1"/>
      <w:numFmt w:val="bullet"/>
      <w:lvlText w:val=""/>
      <w:lvlJc w:val="left"/>
      <w:pPr>
        <w:tabs>
          <w:tab w:val="num" w:pos="2443"/>
        </w:tabs>
        <w:ind w:left="2443" w:hanging="360"/>
      </w:pPr>
      <w:rPr>
        <w:rFonts w:ascii="Wingdings" w:hAnsi="Wingdings" w:hint="default"/>
      </w:rPr>
    </w:lvl>
    <w:lvl w:ilvl="3" w:tplc="0C0A0001" w:tentative="1">
      <w:start w:val="1"/>
      <w:numFmt w:val="bullet"/>
      <w:lvlText w:val=""/>
      <w:lvlJc w:val="left"/>
      <w:pPr>
        <w:tabs>
          <w:tab w:val="num" w:pos="3163"/>
        </w:tabs>
        <w:ind w:left="3163" w:hanging="360"/>
      </w:pPr>
      <w:rPr>
        <w:rFonts w:ascii="Symbol" w:hAnsi="Symbol" w:hint="default"/>
      </w:rPr>
    </w:lvl>
    <w:lvl w:ilvl="4" w:tplc="0C0A0003" w:tentative="1">
      <w:start w:val="1"/>
      <w:numFmt w:val="bullet"/>
      <w:lvlText w:val="o"/>
      <w:lvlJc w:val="left"/>
      <w:pPr>
        <w:tabs>
          <w:tab w:val="num" w:pos="3883"/>
        </w:tabs>
        <w:ind w:left="3883" w:hanging="360"/>
      </w:pPr>
      <w:rPr>
        <w:rFonts w:ascii="Courier New" w:hAnsi="Courier New" w:cs="Courier New" w:hint="default"/>
      </w:rPr>
    </w:lvl>
    <w:lvl w:ilvl="5" w:tplc="0C0A0005" w:tentative="1">
      <w:start w:val="1"/>
      <w:numFmt w:val="bullet"/>
      <w:lvlText w:val=""/>
      <w:lvlJc w:val="left"/>
      <w:pPr>
        <w:tabs>
          <w:tab w:val="num" w:pos="4603"/>
        </w:tabs>
        <w:ind w:left="4603" w:hanging="360"/>
      </w:pPr>
      <w:rPr>
        <w:rFonts w:ascii="Wingdings" w:hAnsi="Wingdings" w:hint="default"/>
      </w:rPr>
    </w:lvl>
    <w:lvl w:ilvl="6" w:tplc="0C0A0001" w:tentative="1">
      <w:start w:val="1"/>
      <w:numFmt w:val="bullet"/>
      <w:lvlText w:val=""/>
      <w:lvlJc w:val="left"/>
      <w:pPr>
        <w:tabs>
          <w:tab w:val="num" w:pos="5323"/>
        </w:tabs>
        <w:ind w:left="5323" w:hanging="360"/>
      </w:pPr>
      <w:rPr>
        <w:rFonts w:ascii="Symbol" w:hAnsi="Symbol" w:hint="default"/>
      </w:rPr>
    </w:lvl>
    <w:lvl w:ilvl="7" w:tplc="0C0A0003" w:tentative="1">
      <w:start w:val="1"/>
      <w:numFmt w:val="bullet"/>
      <w:lvlText w:val="o"/>
      <w:lvlJc w:val="left"/>
      <w:pPr>
        <w:tabs>
          <w:tab w:val="num" w:pos="6043"/>
        </w:tabs>
        <w:ind w:left="6043" w:hanging="360"/>
      </w:pPr>
      <w:rPr>
        <w:rFonts w:ascii="Courier New" w:hAnsi="Courier New" w:cs="Courier New" w:hint="default"/>
      </w:rPr>
    </w:lvl>
    <w:lvl w:ilvl="8" w:tplc="0C0A0005" w:tentative="1">
      <w:start w:val="1"/>
      <w:numFmt w:val="bullet"/>
      <w:lvlText w:val=""/>
      <w:lvlJc w:val="left"/>
      <w:pPr>
        <w:tabs>
          <w:tab w:val="num" w:pos="6763"/>
        </w:tabs>
        <w:ind w:left="6763" w:hanging="360"/>
      </w:pPr>
      <w:rPr>
        <w:rFonts w:ascii="Wingdings" w:hAnsi="Wingdings" w:hint="default"/>
      </w:rPr>
    </w:lvl>
  </w:abstractNum>
  <w:abstractNum w:abstractNumId="15" w15:restartNumberingAfterBreak="0">
    <w:nsid w:val="30E85E6A"/>
    <w:multiLevelType w:val="multilevel"/>
    <w:tmpl w:val="526C6244"/>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1E136E0"/>
    <w:multiLevelType w:val="singleLevel"/>
    <w:tmpl w:val="E670F64E"/>
    <w:lvl w:ilvl="0">
      <w:start w:val="1"/>
      <w:numFmt w:val="bullet"/>
      <w:pStyle w:val="ITEListaSegundoNivel1"/>
      <w:lvlText w:val="-"/>
      <w:lvlJc w:val="left"/>
      <w:pPr>
        <w:tabs>
          <w:tab w:val="num" w:pos="849"/>
        </w:tabs>
        <w:ind w:left="849" w:hanging="283"/>
      </w:pPr>
      <w:rPr>
        <w:rFonts w:ascii="Courier New" w:hAnsi="Courier New" w:hint="default"/>
        <w:color w:val="4D4D4D"/>
      </w:rPr>
    </w:lvl>
  </w:abstractNum>
  <w:abstractNum w:abstractNumId="17" w15:restartNumberingAfterBreak="0">
    <w:nsid w:val="5D8F0265"/>
    <w:multiLevelType w:val="multilevel"/>
    <w:tmpl w:val="94840D8C"/>
    <w:lvl w:ilvl="0">
      <w:start w:val="1"/>
      <w:numFmt w:val="decimal"/>
      <w:lvlText w:val="%1."/>
      <w:lvlJc w:val="left"/>
      <w:pPr>
        <w:tabs>
          <w:tab w:val="num" w:pos="567"/>
        </w:tabs>
        <w:ind w:left="567" w:hanging="567"/>
      </w:pPr>
      <w:rPr>
        <w:rFonts w:ascii="Tahoma" w:hAnsi="Tahoma" w:hint="default"/>
        <w:b/>
        <w:i w:val="0"/>
        <w:color w:val="000000"/>
      </w:rPr>
    </w:lvl>
    <w:lvl w:ilvl="1">
      <w:start w:val="1"/>
      <w:numFmt w:val="decimal"/>
      <w:lvlText w:val="%1.%2."/>
      <w:lvlJc w:val="left"/>
      <w:pPr>
        <w:tabs>
          <w:tab w:val="num" w:pos="567"/>
        </w:tabs>
        <w:ind w:left="567" w:hanging="567"/>
      </w:pPr>
      <w:rPr>
        <w:rFonts w:hint="default"/>
        <w:color w:val="000000"/>
      </w:rPr>
    </w:lvl>
    <w:lvl w:ilvl="2">
      <w:start w:val="1"/>
      <w:numFmt w:val="decimal"/>
      <w:lvlText w:val="%1.%2.%3."/>
      <w:lvlJc w:val="left"/>
      <w:pPr>
        <w:tabs>
          <w:tab w:val="num" w:pos="1440"/>
        </w:tabs>
        <w:ind w:left="1021" w:hanging="1021"/>
      </w:pPr>
      <w:rPr>
        <w:rFonts w:hint="default"/>
      </w:rPr>
    </w:lvl>
    <w:lvl w:ilvl="3">
      <w:start w:val="1"/>
      <w:numFmt w:val="decimal"/>
      <w:lvlText w:val="%1.%2.%3.%4."/>
      <w:lvlJc w:val="left"/>
      <w:pPr>
        <w:tabs>
          <w:tab w:val="num" w:pos="1800"/>
        </w:tabs>
        <w:ind w:left="1191" w:hanging="119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605853A7"/>
    <w:multiLevelType w:val="singleLevel"/>
    <w:tmpl w:val="3952568C"/>
    <w:lvl w:ilvl="0">
      <w:start w:val="1"/>
      <w:numFmt w:val="bullet"/>
      <w:pStyle w:val="ITEListaPrimerNivel1"/>
      <w:lvlText w:val=""/>
      <w:lvlJc w:val="left"/>
      <w:pPr>
        <w:tabs>
          <w:tab w:val="num" w:pos="567"/>
        </w:tabs>
        <w:ind w:left="567" w:hanging="283"/>
      </w:pPr>
      <w:rPr>
        <w:rFonts w:ascii="Symbol" w:hAnsi="Symbol" w:hint="default"/>
        <w:color w:val="97D700"/>
      </w:rPr>
    </w:lvl>
  </w:abstractNum>
  <w:abstractNum w:abstractNumId="19" w15:restartNumberingAfterBreak="0">
    <w:nsid w:val="69CB6739"/>
    <w:multiLevelType w:val="hybridMultilevel"/>
    <w:tmpl w:val="EBB41E7A"/>
    <w:lvl w:ilvl="0" w:tplc="A2923266">
      <w:start w:val="2017"/>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8"/>
  </w:num>
  <w:num w:numId="2">
    <w:abstractNumId w:val="16"/>
  </w:num>
  <w:num w:numId="3">
    <w:abstractNumId w:val="12"/>
  </w:num>
  <w:num w:numId="4">
    <w:abstractNumId w:val="12"/>
  </w:num>
  <w:num w:numId="5">
    <w:abstractNumId w:val="12"/>
  </w:num>
  <w:num w:numId="6">
    <w:abstractNumId w:val="12"/>
  </w:num>
  <w:num w:numId="7">
    <w:abstractNumId w:val="18"/>
  </w:num>
  <w:num w:numId="8">
    <w:abstractNumId w:val="16"/>
  </w:num>
  <w:num w:numId="9">
    <w:abstractNumId w:val="8"/>
  </w:num>
  <w:num w:numId="10">
    <w:abstractNumId w:val="3"/>
  </w:num>
  <w:num w:numId="11">
    <w:abstractNumId w:val="10"/>
  </w:num>
  <w:num w:numId="12">
    <w:abstractNumId w:val="17"/>
  </w:num>
  <w:num w:numId="13">
    <w:abstractNumId w:val="2"/>
  </w:num>
  <w:num w:numId="14">
    <w:abstractNumId w:val="1"/>
  </w:num>
  <w:num w:numId="15">
    <w:abstractNumId w:val="0"/>
  </w:num>
  <w:num w:numId="16">
    <w:abstractNumId w:val="9"/>
  </w:num>
  <w:num w:numId="17">
    <w:abstractNumId w:val="7"/>
  </w:num>
  <w:num w:numId="18">
    <w:abstractNumId w:val="6"/>
  </w:num>
  <w:num w:numId="19">
    <w:abstractNumId w:val="5"/>
  </w:num>
  <w:num w:numId="20">
    <w:abstractNumId w:val="4"/>
  </w:num>
  <w:num w:numId="21">
    <w:abstractNumId w:val="13"/>
  </w:num>
  <w:num w:numId="22">
    <w:abstractNumId w:val="14"/>
  </w:num>
  <w:num w:numId="23">
    <w:abstractNumId w:val="11"/>
  </w:num>
  <w:num w:numId="24">
    <w:abstractNumId w:val="15"/>
  </w:num>
  <w:num w:numId="25">
    <w:abstractNumId w:val="18"/>
  </w:num>
  <w:num w:numId="26">
    <w:abstractNumId w:val="16"/>
  </w:num>
  <w:num w:numId="27">
    <w:abstractNumId w:val="11"/>
  </w:num>
  <w:num w:numId="28">
    <w:abstractNumId w:val="12"/>
  </w:num>
  <w:num w:numId="29">
    <w:abstractNumId w:val="12"/>
  </w:num>
  <w:num w:numId="30">
    <w:abstractNumId w:val="12"/>
  </w:num>
  <w:num w:numId="31">
    <w:abstractNumId w:val="12"/>
  </w:num>
  <w:num w:numId="32">
    <w:abstractNumId w:val="18"/>
  </w:num>
  <w:num w:numId="33">
    <w:abstractNumId w:val="16"/>
  </w:num>
  <w:num w:numId="34">
    <w:abstractNumId w:val="12"/>
  </w:num>
  <w:num w:numId="35">
    <w:abstractNumId w:val="12"/>
  </w:num>
  <w:num w:numId="36">
    <w:abstractNumId w:val="12"/>
  </w:num>
  <w:num w:numId="37">
    <w:abstractNumId w:val="12"/>
  </w:num>
  <w:num w:numId="38">
    <w:abstractNumId w:val="11"/>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06B"/>
    <w:rsid w:val="00003F3E"/>
    <w:rsid w:val="00007560"/>
    <w:rsid w:val="00023612"/>
    <w:rsid w:val="00027BA0"/>
    <w:rsid w:val="0004430A"/>
    <w:rsid w:val="00055D3A"/>
    <w:rsid w:val="000631F7"/>
    <w:rsid w:val="0007446B"/>
    <w:rsid w:val="00083794"/>
    <w:rsid w:val="00084502"/>
    <w:rsid w:val="00093228"/>
    <w:rsid w:val="000D2850"/>
    <w:rsid w:val="00112836"/>
    <w:rsid w:val="00125F88"/>
    <w:rsid w:val="00132245"/>
    <w:rsid w:val="00151ABF"/>
    <w:rsid w:val="001651CF"/>
    <w:rsid w:val="00166B73"/>
    <w:rsid w:val="001A16E5"/>
    <w:rsid w:val="001A21FD"/>
    <w:rsid w:val="001E1F7B"/>
    <w:rsid w:val="001F77EC"/>
    <w:rsid w:val="00205A08"/>
    <w:rsid w:val="00243034"/>
    <w:rsid w:val="00250B52"/>
    <w:rsid w:val="00261604"/>
    <w:rsid w:val="0026236A"/>
    <w:rsid w:val="00267505"/>
    <w:rsid w:val="00282F4D"/>
    <w:rsid w:val="00284496"/>
    <w:rsid w:val="002D29D0"/>
    <w:rsid w:val="002E0F24"/>
    <w:rsid w:val="00343ED7"/>
    <w:rsid w:val="00355EB6"/>
    <w:rsid w:val="003636EA"/>
    <w:rsid w:val="00377AD4"/>
    <w:rsid w:val="003920B7"/>
    <w:rsid w:val="003D2E5D"/>
    <w:rsid w:val="003E1C02"/>
    <w:rsid w:val="003F7531"/>
    <w:rsid w:val="00400AB9"/>
    <w:rsid w:val="0040262E"/>
    <w:rsid w:val="00457DA8"/>
    <w:rsid w:val="004609BD"/>
    <w:rsid w:val="00462E56"/>
    <w:rsid w:val="004755E0"/>
    <w:rsid w:val="004956D0"/>
    <w:rsid w:val="004B2374"/>
    <w:rsid w:val="004B59CB"/>
    <w:rsid w:val="004B761C"/>
    <w:rsid w:val="004C213A"/>
    <w:rsid w:val="004C3744"/>
    <w:rsid w:val="004D0E14"/>
    <w:rsid w:val="004F75C5"/>
    <w:rsid w:val="00511DBB"/>
    <w:rsid w:val="00544A24"/>
    <w:rsid w:val="00571FBC"/>
    <w:rsid w:val="00573500"/>
    <w:rsid w:val="005815D1"/>
    <w:rsid w:val="0058603C"/>
    <w:rsid w:val="005A288B"/>
    <w:rsid w:val="005C7AB9"/>
    <w:rsid w:val="0060007D"/>
    <w:rsid w:val="0060546F"/>
    <w:rsid w:val="00621F19"/>
    <w:rsid w:val="00657A68"/>
    <w:rsid w:val="00663D3A"/>
    <w:rsid w:val="00670C87"/>
    <w:rsid w:val="00686482"/>
    <w:rsid w:val="00696090"/>
    <w:rsid w:val="00697795"/>
    <w:rsid w:val="006A6E1A"/>
    <w:rsid w:val="006C1D17"/>
    <w:rsid w:val="006C77C3"/>
    <w:rsid w:val="006D52D9"/>
    <w:rsid w:val="00716123"/>
    <w:rsid w:val="00720FC7"/>
    <w:rsid w:val="00755A0F"/>
    <w:rsid w:val="007A16F6"/>
    <w:rsid w:val="007D7CC1"/>
    <w:rsid w:val="007E38C4"/>
    <w:rsid w:val="00800F02"/>
    <w:rsid w:val="0082516C"/>
    <w:rsid w:val="0085257F"/>
    <w:rsid w:val="0088732B"/>
    <w:rsid w:val="008C27DB"/>
    <w:rsid w:val="008D2EED"/>
    <w:rsid w:val="008E62E7"/>
    <w:rsid w:val="00900A32"/>
    <w:rsid w:val="0091124F"/>
    <w:rsid w:val="00923C1E"/>
    <w:rsid w:val="0093424D"/>
    <w:rsid w:val="00952401"/>
    <w:rsid w:val="0096336D"/>
    <w:rsid w:val="00974F6E"/>
    <w:rsid w:val="0098545A"/>
    <w:rsid w:val="009B502D"/>
    <w:rsid w:val="009B5658"/>
    <w:rsid w:val="009C07BE"/>
    <w:rsid w:val="009C1058"/>
    <w:rsid w:val="009C3641"/>
    <w:rsid w:val="009E3A77"/>
    <w:rsid w:val="009F1AF2"/>
    <w:rsid w:val="009F7713"/>
    <w:rsid w:val="00A210AF"/>
    <w:rsid w:val="00A3306B"/>
    <w:rsid w:val="00A56A1F"/>
    <w:rsid w:val="00A66E60"/>
    <w:rsid w:val="00A8107E"/>
    <w:rsid w:val="00A83626"/>
    <w:rsid w:val="00AB18C1"/>
    <w:rsid w:val="00AB74F4"/>
    <w:rsid w:val="00AD1DB8"/>
    <w:rsid w:val="00AE438E"/>
    <w:rsid w:val="00AF7D53"/>
    <w:rsid w:val="00B148E6"/>
    <w:rsid w:val="00B22758"/>
    <w:rsid w:val="00B227B4"/>
    <w:rsid w:val="00B82F7A"/>
    <w:rsid w:val="00B85854"/>
    <w:rsid w:val="00BE00F4"/>
    <w:rsid w:val="00BF31FF"/>
    <w:rsid w:val="00BF6730"/>
    <w:rsid w:val="00BF743B"/>
    <w:rsid w:val="00C2145D"/>
    <w:rsid w:val="00C252DF"/>
    <w:rsid w:val="00C35CBA"/>
    <w:rsid w:val="00C713B1"/>
    <w:rsid w:val="00CA5F42"/>
    <w:rsid w:val="00CA6D01"/>
    <w:rsid w:val="00CC3395"/>
    <w:rsid w:val="00CD41E0"/>
    <w:rsid w:val="00CE2465"/>
    <w:rsid w:val="00CF72C2"/>
    <w:rsid w:val="00CF7989"/>
    <w:rsid w:val="00D20B18"/>
    <w:rsid w:val="00D645AE"/>
    <w:rsid w:val="00D71A10"/>
    <w:rsid w:val="00D91983"/>
    <w:rsid w:val="00D97B45"/>
    <w:rsid w:val="00DB5477"/>
    <w:rsid w:val="00DC5478"/>
    <w:rsid w:val="00DD0565"/>
    <w:rsid w:val="00DD7892"/>
    <w:rsid w:val="00DF5C19"/>
    <w:rsid w:val="00E0219A"/>
    <w:rsid w:val="00E16ED3"/>
    <w:rsid w:val="00E300EB"/>
    <w:rsid w:val="00E37063"/>
    <w:rsid w:val="00E829EA"/>
    <w:rsid w:val="00EC2022"/>
    <w:rsid w:val="00EE4812"/>
    <w:rsid w:val="00EF1A35"/>
    <w:rsid w:val="00F05D78"/>
    <w:rsid w:val="00F13BEC"/>
    <w:rsid w:val="00F31EFA"/>
    <w:rsid w:val="00F359D6"/>
    <w:rsid w:val="00F41D45"/>
    <w:rsid w:val="00F52177"/>
    <w:rsid w:val="00F60F62"/>
    <w:rsid w:val="00F61ADD"/>
    <w:rsid w:val="00F70BA9"/>
    <w:rsid w:val="00F779C8"/>
    <w:rsid w:val="00F838C6"/>
    <w:rsid w:val="00FB0D92"/>
    <w:rsid w:val="00FB7DF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5DB60252-25A3-463C-8BEB-5DEFDE977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446B"/>
    <w:rPr>
      <w:rFonts w:ascii="Tahoma" w:hAnsi="Tahoma" w:cs="Tahoma"/>
      <w:color w:val="000000"/>
    </w:rPr>
  </w:style>
  <w:style w:type="paragraph" w:styleId="Ttulo1">
    <w:name w:val="heading 1"/>
    <w:basedOn w:val="Normal"/>
    <w:next w:val="Normal"/>
    <w:qFormat/>
    <w:rsid w:val="0007446B"/>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07446B"/>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7446B"/>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rsid w:val="0007446B"/>
    <w:pPr>
      <w:tabs>
        <w:tab w:val="center" w:pos="4252"/>
        <w:tab w:val="right" w:pos="8504"/>
      </w:tabs>
    </w:pPr>
  </w:style>
  <w:style w:type="paragraph" w:customStyle="1" w:styleId="ITECabecera">
    <w:name w:val="ITE_Cabecera"/>
    <w:semiHidden/>
    <w:rsid w:val="0007446B"/>
    <w:pPr>
      <w:tabs>
        <w:tab w:val="left" w:pos="0"/>
        <w:tab w:val="center" w:pos="4536"/>
        <w:tab w:val="right" w:pos="9072"/>
      </w:tabs>
    </w:pPr>
    <w:rPr>
      <w:rFonts w:ascii="Tahoma" w:hAnsi="Tahoma"/>
      <w:color w:val="6B8F00"/>
      <w:sz w:val="16"/>
    </w:rPr>
  </w:style>
  <w:style w:type="paragraph" w:customStyle="1" w:styleId="ITECabeceraDireccion">
    <w:name w:val="ITE_Cabecera_Direccion"/>
    <w:semiHidden/>
    <w:rsid w:val="0007446B"/>
    <w:pPr>
      <w:spacing w:after="60"/>
      <w:jc w:val="right"/>
    </w:pPr>
    <w:rPr>
      <w:rFonts w:ascii="Tahoma" w:hAnsi="Tahoma"/>
      <w:noProof/>
      <w:color w:val="97D700"/>
      <w:sz w:val="14"/>
      <w:szCs w:val="14"/>
    </w:rPr>
  </w:style>
  <w:style w:type="paragraph" w:customStyle="1" w:styleId="ITECarta1">
    <w:name w:val="ITE_Carta_1"/>
    <w:rsid w:val="0007446B"/>
    <w:pPr>
      <w:spacing w:after="240" w:line="320" w:lineRule="atLeast"/>
      <w:jc w:val="both"/>
    </w:pPr>
    <w:rPr>
      <w:rFonts w:ascii="Tahoma" w:hAnsi="Tahoma"/>
      <w:color w:val="000000"/>
    </w:rPr>
  </w:style>
  <w:style w:type="paragraph" w:customStyle="1" w:styleId="ITECarta2">
    <w:name w:val="ITE_Carta_2"/>
    <w:rsid w:val="0007446B"/>
    <w:pPr>
      <w:spacing w:after="240" w:line="320" w:lineRule="atLeast"/>
      <w:jc w:val="both"/>
    </w:pPr>
    <w:rPr>
      <w:rFonts w:ascii="Tahoma" w:hAnsi="Tahoma"/>
      <w:color w:val="000000"/>
      <w:lang w:val="eu-ES"/>
    </w:rPr>
  </w:style>
  <w:style w:type="paragraph" w:customStyle="1" w:styleId="ITECartaAsuntoReferencia">
    <w:name w:val="ITE_Carta_AsuntoReferencia"/>
    <w:next w:val="ITECarta1"/>
    <w:rsid w:val="0007446B"/>
    <w:pPr>
      <w:spacing w:before="120" w:after="480"/>
    </w:pPr>
    <w:rPr>
      <w:rFonts w:ascii="Tahoma" w:hAnsi="Tahoma"/>
      <w:b/>
      <w:i/>
      <w:color w:val="000000"/>
    </w:rPr>
  </w:style>
  <w:style w:type="paragraph" w:customStyle="1" w:styleId="ITECartaAsuntoReferencia2">
    <w:name w:val="ITE_Carta_AsuntoReferencia_2"/>
    <w:next w:val="ITECarta2"/>
    <w:rsid w:val="0007446B"/>
    <w:pPr>
      <w:spacing w:before="120" w:after="480"/>
    </w:pPr>
    <w:rPr>
      <w:rFonts w:ascii="Tahoma" w:hAnsi="Tahoma"/>
      <w:b/>
      <w:i/>
      <w:color w:val="000000"/>
      <w:lang w:val="eu-ES"/>
    </w:rPr>
  </w:style>
  <w:style w:type="paragraph" w:customStyle="1" w:styleId="ITECartaVentanilla">
    <w:name w:val="ITE_Carta_Ventanilla"/>
    <w:rsid w:val="0007446B"/>
    <w:rPr>
      <w:rFonts w:ascii="Tahoma" w:hAnsi="Tahoma"/>
      <w:color w:val="595959"/>
      <w:sz w:val="18"/>
      <w:szCs w:val="18"/>
    </w:rPr>
  </w:style>
  <w:style w:type="paragraph" w:customStyle="1" w:styleId="ITETexto1">
    <w:name w:val="ITE_Texto_1"/>
    <w:rsid w:val="0007446B"/>
    <w:pPr>
      <w:spacing w:before="120" w:after="120" w:line="320" w:lineRule="atLeast"/>
      <w:jc w:val="both"/>
    </w:pPr>
    <w:rPr>
      <w:rFonts w:ascii="Tahoma" w:hAnsi="Tahoma"/>
      <w:color w:val="000000"/>
    </w:rPr>
  </w:style>
  <w:style w:type="paragraph" w:customStyle="1" w:styleId="ITEDocumentoConfidencialidad">
    <w:name w:val="ITE_Documento_Confidencialidad"/>
    <w:basedOn w:val="ITETexto1"/>
    <w:next w:val="ITETexto1"/>
    <w:semiHidden/>
    <w:rsid w:val="0007446B"/>
    <w:rPr>
      <w:i/>
      <w:color w:val="6B8F00"/>
    </w:rPr>
  </w:style>
  <w:style w:type="paragraph" w:customStyle="1" w:styleId="ITEDocumentoSubtitulo">
    <w:name w:val="ITE_Documento_Subtitulo"/>
    <w:semiHidden/>
    <w:rsid w:val="0007446B"/>
    <w:pPr>
      <w:spacing w:after="120"/>
      <w:jc w:val="right"/>
    </w:pPr>
    <w:rPr>
      <w:rFonts w:ascii="Tahoma" w:hAnsi="Tahoma"/>
      <w:color w:val="000000"/>
      <w:sz w:val="28"/>
      <w:szCs w:val="28"/>
    </w:rPr>
  </w:style>
  <w:style w:type="paragraph" w:customStyle="1" w:styleId="ITEDocumentoTitulo">
    <w:name w:val="ITE_Documento_Titulo"/>
    <w:semiHidden/>
    <w:rsid w:val="0007446B"/>
    <w:pPr>
      <w:spacing w:before="120" w:after="120"/>
      <w:jc w:val="center"/>
    </w:pPr>
    <w:rPr>
      <w:rFonts w:ascii="Tahoma" w:hAnsi="Tahoma"/>
      <w:b/>
      <w:caps/>
      <w:color w:val="000000"/>
      <w:sz w:val="32"/>
      <w:szCs w:val="32"/>
    </w:rPr>
  </w:style>
  <w:style w:type="paragraph" w:customStyle="1" w:styleId="ITELateralInscripcionRegistro">
    <w:name w:val="ITE_Lateral_InscripcionRegistro"/>
    <w:semiHidden/>
    <w:rsid w:val="0007446B"/>
    <w:rPr>
      <w:rFonts w:ascii="Tahoma" w:hAnsi="Tahoma"/>
      <w:noProof/>
      <w:color w:val="97D700"/>
      <w:sz w:val="10"/>
      <w:szCs w:val="10"/>
    </w:rPr>
  </w:style>
  <w:style w:type="paragraph" w:customStyle="1" w:styleId="ITEListaPrimerNivel1">
    <w:name w:val="ITE_Lista Primer Nivel_1"/>
    <w:rsid w:val="0007446B"/>
    <w:pPr>
      <w:numPr>
        <w:numId w:val="32"/>
      </w:numPr>
      <w:spacing w:before="120" w:after="120" w:line="320" w:lineRule="atLeast"/>
      <w:contextualSpacing/>
      <w:jc w:val="both"/>
    </w:pPr>
    <w:rPr>
      <w:rFonts w:ascii="Tahoma" w:hAnsi="Tahoma"/>
      <w:color w:val="000000"/>
    </w:rPr>
  </w:style>
  <w:style w:type="paragraph" w:customStyle="1" w:styleId="ITEListaPrimerNivel2">
    <w:name w:val="ITE_Lista Primer Nivel_2"/>
    <w:rsid w:val="0007446B"/>
    <w:pPr>
      <w:spacing w:before="120" w:after="120" w:line="320" w:lineRule="atLeast"/>
      <w:ind w:left="567"/>
      <w:contextualSpacing/>
      <w:jc w:val="both"/>
    </w:pPr>
    <w:rPr>
      <w:rFonts w:ascii="Tahoma" w:hAnsi="Tahoma"/>
      <w:color w:val="000000"/>
    </w:rPr>
  </w:style>
  <w:style w:type="paragraph" w:customStyle="1" w:styleId="ITEListaSegundoNivel1">
    <w:name w:val="ITE_Lista Segundo Nivel_1"/>
    <w:rsid w:val="0007446B"/>
    <w:pPr>
      <w:numPr>
        <w:numId w:val="33"/>
      </w:numPr>
      <w:spacing w:before="120" w:after="120" w:line="320" w:lineRule="atLeast"/>
      <w:contextualSpacing/>
      <w:jc w:val="both"/>
    </w:pPr>
    <w:rPr>
      <w:rFonts w:ascii="Tahoma" w:hAnsi="Tahoma"/>
      <w:color w:val="000000"/>
    </w:rPr>
  </w:style>
  <w:style w:type="paragraph" w:customStyle="1" w:styleId="ITEListaSegundoNivel2">
    <w:name w:val="ITE_Lista Segundo Nivel_2"/>
    <w:rsid w:val="0007446B"/>
    <w:pPr>
      <w:spacing w:before="120" w:after="120" w:line="320" w:lineRule="atLeast"/>
      <w:ind w:left="851"/>
      <w:contextualSpacing/>
      <w:jc w:val="both"/>
    </w:pPr>
    <w:rPr>
      <w:rFonts w:ascii="Tahoma" w:hAnsi="Tahoma"/>
      <w:color w:val="000000"/>
    </w:rPr>
  </w:style>
  <w:style w:type="paragraph" w:customStyle="1" w:styleId="ITEPie">
    <w:name w:val="ITE_Pie"/>
    <w:semiHidden/>
    <w:rsid w:val="0007446B"/>
    <w:pPr>
      <w:tabs>
        <w:tab w:val="left" w:pos="0"/>
        <w:tab w:val="center" w:pos="4536"/>
        <w:tab w:val="right" w:pos="9072"/>
      </w:tabs>
      <w:jc w:val="both"/>
    </w:pPr>
    <w:rPr>
      <w:rFonts w:ascii="Tahoma" w:hAnsi="Tahoma"/>
      <w:noProof/>
      <w:color w:val="595959"/>
      <w:sz w:val="16"/>
    </w:rPr>
  </w:style>
  <w:style w:type="paragraph" w:customStyle="1" w:styleId="ITETabla1">
    <w:name w:val="ITE_Tabla_1"/>
    <w:rsid w:val="0007446B"/>
    <w:pPr>
      <w:spacing w:before="60" w:after="60"/>
    </w:pPr>
    <w:rPr>
      <w:rFonts w:ascii="Tahoma" w:hAnsi="Tahoma"/>
      <w:color w:val="595959"/>
      <w:sz w:val="18"/>
      <w:szCs w:val="18"/>
    </w:rPr>
  </w:style>
  <w:style w:type="paragraph" w:customStyle="1" w:styleId="ITETabla2">
    <w:name w:val="ITE_Tabla_2"/>
    <w:rsid w:val="0007446B"/>
    <w:pPr>
      <w:spacing w:before="60" w:after="60"/>
      <w:jc w:val="center"/>
    </w:pPr>
    <w:rPr>
      <w:rFonts w:ascii="Tahoma" w:hAnsi="Tahoma"/>
      <w:color w:val="000000" w:themeColor="text1"/>
      <w:sz w:val="18"/>
      <w:szCs w:val="18"/>
    </w:rPr>
  </w:style>
  <w:style w:type="paragraph" w:customStyle="1" w:styleId="ITETitulo1">
    <w:name w:val="ITE_Titulo_1"/>
    <w:next w:val="ITETexto1"/>
    <w:rsid w:val="00243034"/>
    <w:pPr>
      <w:keepNext/>
      <w:keepLines/>
      <w:pageBreakBefore/>
      <w:numPr>
        <w:numId w:val="37"/>
      </w:numPr>
      <w:pBdr>
        <w:top w:val="single" w:sz="18" w:space="1" w:color="auto"/>
      </w:pBdr>
      <w:spacing w:before="240" w:after="240"/>
      <w:jc w:val="both"/>
      <w:outlineLvl w:val="0"/>
    </w:pPr>
    <w:rPr>
      <w:rFonts w:ascii="Tahoma" w:hAnsi="Tahoma"/>
      <w:b/>
      <w:caps/>
      <w:color w:val="000000"/>
      <w:sz w:val="22"/>
      <w:szCs w:val="28"/>
    </w:rPr>
  </w:style>
  <w:style w:type="paragraph" w:customStyle="1" w:styleId="ITETitulo2">
    <w:name w:val="ITE_Titulo_2"/>
    <w:next w:val="ITETexto1"/>
    <w:rsid w:val="0007446B"/>
    <w:pPr>
      <w:keepNext/>
      <w:keepLines/>
      <w:numPr>
        <w:ilvl w:val="1"/>
        <w:numId w:val="37"/>
      </w:numPr>
      <w:spacing w:before="240" w:after="240"/>
      <w:jc w:val="both"/>
      <w:outlineLvl w:val="1"/>
    </w:pPr>
    <w:rPr>
      <w:rFonts w:ascii="Tahoma" w:hAnsi="Tahoma"/>
      <w:b/>
      <w:caps/>
      <w:color w:val="000000"/>
      <w:szCs w:val="24"/>
    </w:rPr>
  </w:style>
  <w:style w:type="paragraph" w:customStyle="1" w:styleId="ITETitulo3">
    <w:name w:val="ITE_Titulo_3"/>
    <w:next w:val="ITETexto1"/>
    <w:rsid w:val="0007446B"/>
    <w:pPr>
      <w:keepNext/>
      <w:keepLines/>
      <w:numPr>
        <w:ilvl w:val="2"/>
        <w:numId w:val="37"/>
      </w:numPr>
      <w:tabs>
        <w:tab w:val="left" w:pos="1021"/>
      </w:tabs>
      <w:spacing w:before="240" w:after="240"/>
      <w:jc w:val="both"/>
      <w:outlineLvl w:val="2"/>
    </w:pPr>
    <w:rPr>
      <w:rFonts w:ascii="Tahoma" w:hAnsi="Tahoma"/>
      <w:b/>
      <w:color w:val="000000"/>
      <w:szCs w:val="22"/>
    </w:rPr>
  </w:style>
  <w:style w:type="paragraph" w:customStyle="1" w:styleId="ITETitulo4">
    <w:name w:val="ITE_Titulo_4"/>
    <w:next w:val="ITETexto1"/>
    <w:rsid w:val="0007446B"/>
    <w:pPr>
      <w:keepNext/>
      <w:keepLines/>
      <w:numPr>
        <w:ilvl w:val="3"/>
        <w:numId w:val="37"/>
      </w:numPr>
      <w:tabs>
        <w:tab w:val="left" w:pos="1134"/>
      </w:tabs>
      <w:spacing w:before="240" w:after="240"/>
      <w:outlineLvl w:val="3"/>
    </w:pPr>
    <w:rPr>
      <w:rFonts w:ascii="Tahoma" w:hAnsi="Tahoma"/>
    </w:rPr>
  </w:style>
  <w:style w:type="paragraph" w:customStyle="1" w:styleId="ITETitulo5">
    <w:name w:val="ITE_Titulo_5"/>
    <w:next w:val="ITETexto1"/>
    <w:rsid w:val="0007446B"/>
    <w:pPr>
      <w:keepNext/>
      <w:keepLines/>
      <w:spacing w:before="120" w:after="120"/>
      <w:jc w:val="both"/>
      <w:outlineLvl w:val="4"/>
    </w:pPr>
    <w:rPr>
      <w:rFonts w:ascii="Tahoma" w:hAnsi="Tahoma"/>
      <w:b/>
      <w:color w:val="000000" w:themeColor="text1"/>
      <w:u w:val="single"/>
    </w:rPr>
  </w:style>
  <w:style w:type="character" w:styleId="Nmerodepgina">
    <w:name w:val="page number"/>
    <w:basedOn w:val="Fuentedeprrafopredeter"/>
    <w:semiHidden/>
    <w:rsid w:val="0007446B"/>
    <w:rPr>
      <w:rFonts w:ascii="Tahoma" w:hAnsi="Tahoma" w:cs="Tahoma"/>
      <w:color w:val="595959"/>
      <w:sz w:val="16"/>
      <w:szCs w:val="28"/>
    </w:rPr>
  </w:style>
  <w:style w:type="paragraph" w:styleId="Piedepgina">
    <w:name w:val="footer"/>
    <w:basedOn w:val="Normal"/>
    <w:semiHidden/>
    <w:rsid w:val="0007446B"/>
    <w:pPr>
      <w:tabs>
        <w:tab w:val="center" w:pos="4252"/>
        <w:tab w:val="right" w:pos="8504"/>
      </w:tabs>
    </w:pPr>
  </w:style>
  <w:style w:type="paragraph" w:styleId="TDC1">
    <w:name w:val="toc 1"/>
    <w:autoRedefine/>
    <w:uiPriority w:val="39"/>
    <w:rsid w:val="0007446B"/>
    <w:pPr>
      <w:tabs>
        <w:tab w:val="left" w:pos="567"/>
        <w:tab w:val="right" w:leader="dot" w:pos="9060"/>
      </w:tabs>
      <w:spacing w:before="240" w:after="120"/>
      <w:ind w:left="567" w:hanging="567"/>
    </w:pPr>
    <w:rPr>
      <w:rFonts w:ascii="Tahoma" w:hAnsi="Tahoma"/>
      <w:b/>
      <w:caps/>
      <w:noProof/>
      <w:color w:val="25163A"/>
      <w:szCs w:val="32"/>
    </w:rPr>
  </w:style>
  <w:style w:type="paragraph" w:styleId="TDC2">
    <w:name w:val="toc 2"/>
    <w:basedOn w:val="Normal"/>
    <w:next w:val="Normal"/>
    <w:uiPriority w:val="39"/>
    <w:rsid w:val="0007446B"/>
    <w:pPr>
      <w:spacing w:after="120"/>
      <w:ind w:left="1247" w:hanging="680"/>
      <w:jc w:val="both"/>
    </w:pPr>
    <w:rPr>
      <w:rFonts w:cs="Times New Roman"/>
      <w:noProof/>
      <w:sz w:val="18"/>
    </w:rPr>
  </w:style>
  <w:style w:type="paragraph" w:styleId="TDC3">
    <w:name w:val="toc 3"/>
    <w:basedOn w:val="Normal"/>
    <w:next w:val="Normal"/>
    <w:autoRedefine/>
    <w:uiPriority w:val="39"/>
    <w:rsid w:val="0007446B"/>
    <w:pPr>
      <w:tabs>
        <w:tab w:val="left" w:pos="1588"/>
        <w:tab w:val="right" w:leader="dot" w:pos="9060"/>
      </w:tabs>
      <w:spacing w:after="120"/>
      <w:ind w:left="1872" w:hanging="1021"/>
      <w:jc w:val="both"/>
    </w:pPr>
    <w:rPr>
      <w:rFonts w:cs="Times New Roman"/>
      <w:noProof/>
      <w:sz w:val="16"/>
    </w:rPr>
  </w:style>
  <w:style w:type="paragraph" w:styleId="TDC4">
    <w:name w:val="toc 4"/>
    <w:basedOn w:val="Normal"/>
    <w:next w:val="Normal"/>
    <w:autoRedefine/>
    <w:uiPriority w:val="39"/>
    <w:rsid w:val="0007446B"/>
    <w:pPr>
      <w:spacing w:after="120"/>
      <w:ind w:left="2155" w:hanging="1021"/>
      <w:jc w:val="both"/>
    </w:pPr>
    <w:rPr>
      <w:rFonts w:cs="Times New Roman"/>
      <w:noProof/>
      <w:color w:val="595959"/>
      <w:sz w:val="16"/>
    </w:rPr>
  </w:style>
  <w:style w:type="paragraph" w:customStyle="1" w:styleId="ITEImagen1">
    <w:name w:val="ITE_Imagen_1"/>
    <w:next w:val="Normal"/>
    <w:rsid w:val="0007446B"/>
    <w:pPr>
      <w:keepNext/>
      <w:spacing w:before="120" w:after="120"/>
      <w:jc w:val="center"/>
    </w:pPr>
    <w:rPr>
      <w:rFonts w:ascii="Tahoma" w:hAnsi="Tahoma"/>
      <w:color w:val="000000"/>
    </w:rPr>
  </w:style>
  <w:style w:type="paragraph" w:customStyle="1" w:styleId="ITEImagen2">
    <w:name w:val="ITE_Imagen_2"/>
    <w:next w:val="ITETexto1"/>
    <w:rsid w:val="0007446B"/>
    <w:pPr>
      <w:jc w:val="center"/>
    </w:pPr>
    <w:rPr>
      <w:rFonts w:ascii="Tahoma" w:hAnsi="Tahoma"/>
      <w:i/>
      <w:color w:val="000000"/>
      <w:sz w:val="16"/>
      <w:szCs w:val="16"/>
    </w:rPr>
  </w:style>
  <w:style w:type="table" w:styleId="Tablaconcuadrcula">
    <w:name w:val="Table Grid"/>
    <w:basedOn w:val="Tablanormal"/>
    <w:semiHidden/>
    <w:rsid w:val="0007446B"/>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07446B"/>
    <w:rPr>
      <w:color w:val="0000FF"/>
      <w:u w:val="single"/>
    </w:rPr>
  </w:style>
  <w:style w:type="paragraph" w:customStyle="1" w:styleId="ITEAnexo">
    <w:name w:val="ITE_Anexo"/>
    <w:next w:val="ITETexto1"/>
    <w:rsid w:val="0007446B"/>
    <w:pPr>
      <w:pageBreakBefore/>
      <w:spacing w:before="120" w:after="120"/>
      <w:jc w:val="center"/>
      <w:outlineLvl w:val="0"/>
    </w:pPr>
    <w:rPr>
      <w:rFonts w:ascii="Tahoma" w:hAnsi="Tahoma"/>
      <w:b/>
      <w:caps/>
      <w:color w:val="000000"/>
    </w:rPr>
  </w:style>
  <w:style w:type="paragraph" w:customStyle="1" w:styleId="ITEListaTercerNivel1">
    <w:name w:val="ITE_Lista Tercer Nivel_1"/>
    <w:basedOn w:val="ITETexto1"/>
    <w:rsid w:val="0007446B"/>
    <w:pPr>
      <w:numPr>
        <w:numId w:val="38"/>
      </w:numPr>
      <w:tabs>
        <w:tab w:val="left" w:pos="567"/>
      </w:tabs>
    </w:pPr>
  </w:style>
  <w:style w:type="paragraph" w:styleId="Mapadeldocumento">
    <w:name w:val="Document Map"/>
    <w:basedOn w:val="Normal"/>
    <w:link w:val="MapadeldocumentoCar"/>
    <w:rsid w:val="0007446B"/>
    <w:rPr>
      <w:sz w:val="16"/>
      <w:szCs w:val="16"/>
    </w:rPr>
  </w:style>
  <w:style w:type="character" w:customStyle="1" w:styleId="MapadeldocumentoCar">
    <w:name w:val="Mapa del documento Car"/>
    <w:basedOn w:val="Fuentedeprrafopredeter"/>
    <w:link w:val="Mapadeldocumento"/>
    <w:rsid w:val="0007446B"/>
    <w:rPr>
      <w:rFonts w:ascii="Tahoma" w:hAnsi="Tahoma" w:cs="Tahoma"/>
      <w:color w:val="000000"/>
      <w:sz w:val="16"/>
      <w:szCs w:val="16"/>
    </w:rPr>
  </w:style>
  <w:style w:type="paragraph" w:styleId="Textodeglobo">
    <w:name w:val="Balloon Text"/>
    <w:basedOn w:val="Normal"/>
    <w:link w:val="TextodegloboCar"/>
    <w:rsid w:val="0007446B"/>
    <w:rPr>
      <w:sz w:val="16"/>
      <w:szCs w:val="16"/>
    </w:rPr>
  </w:style>
  <w:style w:type="character" w:customStyle="1" w:styleId="TextodegloboCar">
    <w:name w:val="Texto de globo Car"/>
    <w:basedOn w:val="Fuentedeprrafopredeter"/>
    <w:link w:val="Textodeglobo"/>
    <w:rsid w:val="0007446B"/>
    <w:rPr>
      <w:rFonts w:ascii="Tahoma" w:hAnsi="Tahoma" w:cs="Tahoma"/>
      <w:color w:val="000000"/>
      <w:sz w:val="16"/>
      <w:szCs w:val="16"/>
    </w:rPr>
  </w:style>
  <w:style w:type="paragraph" w:styleId="TDC5">
    <w:name w:val="toc 5"/>
    <w:basedOn w:val="Normal"/>
    <w:next w:val="Normal"/>
    <w:autoRedefine/>
    <w:uiPriority w:val="39"/>
    <w:rsid w:val="0007446B"/>
    <w:pPr>
      <w:spacing w:after="100"/>
      <w:ind w:left="800"/>
    </w:pPr>
  </w:style>
  <w:style w:type="character" w:styleId="Hipervnculovisitado">
    <w:name w:val="FollowedHyperlink"/>
    <w:basedOn w:val="Fuentedeprrafopredeter"/>
    <w:rsid w:val="00F41D4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uskadi.eus/k28aVisWar/k28aIdeES.jsp"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I:\01.COMUN\08.UTILIDADES\Plantillas%20Itelazpi\Plantillas\ITELAZPI%20Plantillas\Doc.%20portada%20indice%20cuadr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Doc. portada indice cuadro.dotx</Template>
  <TotalTime>23</TotalTime>
  <Pages>11</Pages>
  <Words>2527</Words>
  <Characters>13899</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#TÍTULO#</vt:lpstr>
    </vt:vector>
  </TitlesOfParts>
  <Company>ITELAZPI</Company>
  <LinksUpToDate>false</LinksUpToDate>
  <CharactersWithSpaces>16394</CharactersWithSpaces>
  <SharedDoc>false</SharedDoc>
  <HLinks>
    <vt:vector size="12" baseType="variant">
      <vt:variant>
        <vt:i4>2031667</vt:i4>
      </vt:variant>
      <vt:variant>
        <vt:i4>8</vt:i4>
      </vt:variant>
      <vt:variant>
        <vt:i4>0</vt:i4>
      </vt:variant>
      <vt:variant>
        <vt:i4>5</vt:i4>
      </vt:variant>
      <vt:variant>
        <vt:lpwstr/>
      </vt:variant>
      <vt:variant>
        <vt:lpwstr>_Toc368994135</vt:lpwstr>
      </vt:variant>
      <vt:variant>
        <vt:i4>2031667</vt:i4>
      </vt:variant>
      <vt:variant>
        <vt:i4>2</vt:i4>
      </vt:variant>
      <vt:variant>
        <vt:i4>0</vt:i4>
      </vt:variant>
      <vt:variant>
        <vt:i4>5</vt:i4>
      </vt:variant>
      <vt:variant>
        <vt:lpwstr/>
      </vt:variant>
      <vt:variant>
        <vt:lpwstr>_Toc368994134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dc:title>
  <dc:creator>Mendizabal Aburto, Juan Jose</dc:creator>
  <cp:lastModifiedBy>olatz arrieta</cp:lastModifiedBy>
  <cp:revision>5</cp:revision>
  <cp:lastPrinted>2017-07-06T08:38:00Z</cp:lastPrinted>
  <dcterms:created xsi:type="dcterms:W3CDTF">2018-02-07T07:11:00Z</dcterms:created>
  <dcterms:modified xsi:type="dcterms:W3CDTF">2018-02-07T10:39:00Z</dcterms:modified>
</cp:coreProperties>
</file>